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0" w:type="dxa"/>
        <w:tblInd w:w="93" w:type="dxa"/>
        <w:tblLook w:val="04A0"/>
      </w:tblPr>
      <w:tblGrid>
        <w:gridCol w:w="1080"/>
        <w:gridCol w:w="1480"/>
        <w:gridCol w:w="1480"/>
        <w:gridCol w:w="840"/>
        <w:gridCol w:w="3780"/>
        <w:gridCol w:w="1620"/>
        <w:gridCol w:w="1620"/>
        <w:gridCol w:w="1620"/>
        <w:gridCol w:w="1080"/>
      </w:tblGrid>
      <w:tr w:rsidR="00D41DDB" w:rsidRPr="00D41DDB" w:rsidTr="00D41DDB">
        <w:trPr>
          <w:trHeight w:val="330"/>
        </w:trPr>
        <w:tc>
          <w:tcPr>
            <w:tcW w:w="10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黑体" w:eastAsia="黑体" w:hAnsi="黑体" w:cs="宋体"/>
                <w:sz w:val="24"/>
                <w:szCs w:val="24"/>
              </w:rPr>
            </w:pPr>
            <w:r w:rsidRPr="00D41DDB">
              <w:rPr>
                <w:rFonts w:ascii="黑体" w:eastAsia="黑体" w:hAnsi="黑体" w:cs="宋体" w:hint="eastAsia"/>
                <w:sz w:val="24"/>
                <w:szCs w:val="24"/>
              </w:rPr>
              <w:t>附件2</w:t>
            </w:r>
          </w:p>
        </w:tc>
        <w:tc>
          <w:tcPr>
            <w:tcW w:w="14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黑体" w:eastAsia="黑体" w:hAnsi="黑体" w:cs="宋体"/>
                <w:sz w:val="24"/>
                <w:szCs w:val="24"/>
              </w:rPr>
            </w:pPr>
          </w:p>
        </w:tc>
        <w:tc>
          <w:tcPr>
            <w:tcW w:w="14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黑体" w:eastAsia="黑体" w:hAnsi="黑体" w:cs="宋体"/>
                <w:sz w:val="24"/>
                <w:szCs w:val="24"/>
              </w:rPr>
            </w:pPr>
          </w:p>
        </w:tc>
        <w:tc>
          <w:tcPr>
            <w:tcW w:w="84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黑体" w:eastAsia="黑体" w:hAnsi="黑体" w:cs="宋体"/>
                <w:sz w:val="24"/>
                <w:szCs w:val="24"/>
              </w:rPr>
            </w:pPr>
          </w:p>
        </w:tc>
        <w:tc>
          <w:tcPr>
            <w:tcW w:w="37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0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65"/>
        </w:trPr>
        <w:tc>
          <w:tcPr>
            <w:tcW w:w="13520" w:type="dxa"/>
            <w:gridSpan w:val="8"/>
            <w:tcBorders>
              <w:top w:val="nil"/>
              <w:left w:val="nil"/>
              <w:bottom w:val="nil"/>
              <w:right w:val="nil"/>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b/>
                <w:bCs/>
                <w:sz w:val="32"/>
                <w:szCs w:val="32"/>
              </w:rPr>
            </w:pPr>
            <w:r w:rsidRPr="00D41DDB">
              <w:rPr>
                <w:rFonts w:ascii="宋体" w:eastAsia="宋体" w:hAnsi="宋体" w:cs="宋体" w:hint="eastAsia"/>
                <w:b/>
                <w:bCs/>
                <w:sz w:val="32"/>
                <w:szCs w:val="32"/>
              </w:rPr>
              <w:t>部门（单位）整体绩效目标表</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360"/>
        </w:trPr>
        <w:tc>
          <w:tcPr>
            <w:tcW w:w="13520" w:type="dxa"/>
            <w:gridSpan w:val="8"/>
            <w:tcBorders>
              <w:top w:val="nil"/>
              <w:left w:val="nil"/>
              <w:bottom w:val="nil"/>
              <w:right w:val="nil"/>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w:t>
            </w:r>
            <w:r w:rsidRPr="00D41DDB">
              <w:rPr>
                <w:rFonts w:ascii="Times New Roman" w:eastAsia="宋体" w:hAnsi="Times New Roman" w:cs="Times New Roman"/>
                <w:sz w:val="24"/>
                <w:szCs w:val="24"/>
              </w:rPr>
              <w:t xml:space="preserve">    2019      </w:t>
            </w:r>
            <w:r w:rsidRPr="00D41DDB">
              <w:rPr>
                <w:rFonts w:ascii="宋体" w:eastAsia="宋体" w:hAnsi="宋体" w:cs="宋体" w:hint="eastAsia"/>
                <w:sz w:val="24"/>
                <w:szCs w:val="24"/>
              </w:rPr>
              <w:t>年度）</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345"/>
        </w:trPr>
        <w:tc>
          <w:tcPr>
            <w:tcW w:w="10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84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37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080" w:type="dxa"/>
            <w:tcBorders>
              <w:top w:val="nil"/>
              <w:left w:val="nil"/>
              <w:bottom w:val="nil"/>
              <w:right w:val="nil"/>
            </w:tcBorders>
            <w:shd w:val="clear" w:color="auto" w:fill="auto"/>
            <w:noWrap/>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4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部门（单位）名称</w:t>
            </w:r>
          </w:p>
        </w:tc>
        <w:tc>
          <w:tcPr>
            <w:tcW w:w="9480" w:type="dxa"/>
            <w:gridSpan w:val="5"/>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陕西中医药大学</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年度</w:t>
            </w:r>
            <w:r w:rsidRPr="00D41DDB">
              <w:rPr>
                <w:rFonts w:ascii="宋体" w:eastAsia="宋体" w:hAnsi="宋体" w:cs="宋体" w:hint="eastAsia"/>
                <w:sz w:val="24"/>
                <w:szCs w:val="24"/>
              </w:rPr>
              <w:br/>
              <w:t>主要</w:t>
            </w:r>
            <w:r w:rsidRPr="00D41DDB">
              <w:rPr>
                <w:rFonts w:ascii="宋体" w:eastAsia="宋体" w:hAnsi="宋体" w:cs="宋体" w:hint="eastAsia"/>
                <w:sz w:val="24"/>
                <w:szCs w:val="24"/>
              </w:rPr>
              <w:br/>
              <w:t>任务</w:t>
            </w:r>
          </w:p>
        </w:tc>
        <w:tc>
          <w:tcPr>
            <w:tcW w:w="2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任务名称</w:t>
            </w:r>
          </w:p>
        </w:tc>
        <w:tc>
          <w:tcPr>
            <w:tcW w:w="4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主要内容</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预算金额（万元）</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46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总额</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财政拨款</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其他资金</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600"/>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任务1</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日常公用</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11056.29</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9311.24</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1745.05</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任务2</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人员经费</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13932.03</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4580.77</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9351.26</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任务3</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对个人和家庭补助支出</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4823.59</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2059.9</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2763.69</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任务4</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专项购置</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7434</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4134</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3300</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任务5</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因公出国</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55</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5</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50</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任务6</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专用项目(人才及科研)</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3070</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1070</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2000</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7580" w:type="dxa"/>
            <w:gridSpan w:val="4"/>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金额合计</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40370.91</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21160.91</w:t>
            </w:r>
          </w:p>
        </w:tc>
        <w:tc>
          <w:tcPr>
            <w:tcW w:w="162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right"/>
              <w:rPr>
                <w:rFonts w:ascii="宋体" w:eastAsia="宋体" w:hAnsi="宋体" w:cs="宋体"/>
                <w:sz w:val="24"/>
                <w:szCs w:val="24"/>
              </w:rPr>
            </w:pPr>
            <w:r w:rsidRPr="00D41DDB">
              <w:rPr>
                <w:rFonts w:ascii="宋体" w:eastAsia="宋体" w:hAnsi="宋体" w:cs="宋体" w:hint="eastAsia"/>
                <w:sz w:val="24"/>
                <w:szCs w:val="24"/>
              </w:rPr>
              <w:t>19210</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25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lastRenderedPageBreak/>
              <w:t>年度</w:t>
            </w:r>
            <w:r w:rsidRPr="00D41DDB">
              <w:rPr>
                <w:rFonts w:ascii="宋体" w:eastAsia="宋体" w:hAnsi="宋体" w:cs="宋体" w:hint="eastAsia"/>
                <w:sz w:val="24"/>
                <w:szCs w:val="24"/>
              </w:rPr>
              <w:br/>
              <w:t>总体</w:t>
            </w:r>
            <w:r w:rsidRPr="00D41DDB">
              <w:rPr>
                <w:rFonts w:ascii="宋体" w:eastAsia="宋体" w:hAnsi="宋体" w:cs="宋体" w:hint="eastAsia"/>
                <w:sz w:val="24"/>
                <w:szCs w:val="24"/>
              </w:rPr>
              <w:br/>
              <w:t>目标</w:t>
            </w:r>
          </w:p>
        </w:tc>
        <w:tc>
          <w:tcPr>
            <w:tcW w:w="12440" w:type="dxa"/>
            <w:gridSpan w:val="7"/>
            <w:tcBorders>
              <w:top w:val="single" w:sz="4" w:space="0" w:color="auto"/>
              <w:left w:val="nil"/>
              <w:bottom w:val="single" w:sz="4" w:space="0" w:color="auto"/>
              <w:right w:val="single" w:sz="4" w:space="0" w:color="auto"/>
            </w:tcBorders>
            <w:shd w:val="clear" w:color="auto" w:fill="auto"/>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br/>
              <w:t xml:space="preserve"> 目标1：保障基本运转支出,建立高水平大学。加强学科建设，加大人才引进和培养力度，通过人才引进和培养，建设建立一支结构优化、高素质、创新型、充满活力的师资队伍；使团队的自主创新能力明显增强，形成充分体现多学科交叉融合的研究方向，最终团队达到中药复方现代化研究的国内一流水平，成为推动区域中药产业创新和发展的主力军；</w:t>
            </w:r>
            <w:r w:rsidRPr="00D41DDB">
              <w:rPr>
                <w:rFonts w:ascii="宋体" w:eastAsia="宋体" w:hAnsi="宋体" w:cs="宋体" w:hint="eastAsia"/>
                <w:sz w:val="24"/>
                <w:szCs w:val="24"/>
              </w:rPr>
              <w:br/>
              <w:t xml:space="preserve"> 目标2：依照学科水平状况和教学实验平台建设规模要求，合理配置实验教师与实验室技术人员，使之实验教学队伍在专业职称、技术能力和理论水平方面均一个明显跨跃，为教学科研实验提供强势人力支持；</w:t>
            </w:r>
            <w:r w:rsidRPr="00D41DDB">
              <w:rPr>
                <w:rFonts w:ascii="宋体" w:eastAsia="宋体" w:hAnsi="宋体" w:cs="宋体" w:hint="eastAsia"/>
                <w:sz w:val="24"/>
                <w:szCs w:val="24"/>
              </w:rPr>
              <w:br/>
              <w:t xml:space="preserve"> 目标3：科研平台和专业能力实践基地基本满足培养和提高医学生的科研创新能力和专业实践能力的需要；</w:t>
            </w:r>
            <w:r w:rsidRPr="00D41DDB">
              <w:rPr>
                <w:rFonts w:ascii="宋体" w:eastAsia="宋体" w:hAnsi="宋体" w:cs="宋体" w:hint="eastAsia"/>
                <w:sz w:val="24"/>
                <w:szCs w:val="24"/>
              </w:rPr>
              <w:br/>
              <w:t xml:space="preserve"> 目标4：初步建成校园安全可靠、高效稳定的网络共享平台和图书文献资源达到深层次开发利用的教学科研硬环境。</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年</w:t>
            </w:r>
            <w:r w:rsidRPr="00D41DDB">
              <w:rPr>
                <w:rFonts w:ascii="宋体" w:eastAsia="宋体" w:hAnsi="宋体" w:cs="宋体" w:hint="eastAsia"/>
                <w:sz w:val="24"/>
                <w:szCs w:val="24"/>
              </w:rPr>
              <w:br/>
              <w:t>度</w:t>
            </w:r>
            <w:r w:rsidRPr="00D41DDB">
              <w:rPr>
                <w:rFonts w:ascii="宋体" w:eastAsia="宋体" w:hAnsi="宋体" w:cs="宋体" w:hint="eastAsia"/>
                <w:sz w:val="24"/>
                <w:szCs w:val="24"/>
              </w:rPr>
              <w:br/>
              <w:t>绩</w:t>
            </w:r>
            <w:r w:rsidRPr="00D41DDB">
              <w:rPr>
                <w:rFonts w:ascii="宋体" w:eastAsia="宋体" w:hAnsi="宋体" w:cs="宋体" w:hint="eastAsia"/>
                <w:sz w:val="24"/>
                <w:szCs w:val="24"/>
              </w:rPr>
              <w:br/>
              <w:t>效</w:t>
            </w:r>
            <w:r w:rsidRPr="00D41DDB">
              <w:rPr>
                <w:rFonts w:ascii="宋体" w:eastAsia="宋体" w:hAnsi="宋体" w:cs="宋体" w:hint="eastAsia"/>
                <w:sz w:val="24"/>
                <w:szCs w:val="24"/>
              </w:rPr>
              <w:br/>
              <w:t>指</w:t>
            </w:r>
            <w:r w:rsidRPr="00D41DDB">
              <w:rPr>
                <w:rFonts w:ascii="宋体" w:eastAsia="宋体" w:hAnsi="宋体" w:cs="宋体" w:hint="eastAsia"/>
                <w:sz w:val="24"/>
                <w:szCs w:val="24"/>
              </w:rPr>
              <w:br/>
              <w:t>标</w:t>
            </w:r>
          </w:p>
        </w:tc>
        <w:tc>
          <w:tcPr>
            <w:tcW w:w="148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一级指标</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二级指标</w:t>
            </w:r>
          </w:p>
        </w:tc>
        <w:tc>
          <w:tcPr>
            <w:tcW w:w="540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指标内容</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指标值</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产出指标</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数量指标</w:t>
            </w: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支持的学科数量</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≥31</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支持的教学实验室数量</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≥30</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支持的科研基地和实训中心数量</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≥26</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支持的创新团队数量</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≥8</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960"/>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质量指标</w:t>
            </w:r>
          </w:p>
        </w:tc>
        <w:tc>
          <w:tcPr>
            <w:tcW w:w="540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提高资金使用效益</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逐步完善</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960"/>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基本办学条件</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逐步提高</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960"/>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教育部学科评估排第1或90分以上的地方高校学科个数</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不打分</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960"/>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获得国家科学技术奖个数</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2个</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办学质量</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提升</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效益指标</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社会效益</w:t>
            </w:r>
            <w:r w:rsidRPr="00D41DDB">
              <w:rPr>
                <w:rFonts w:ascii="宋体" w:eastAsia="宋体" w:hAnsi="宋体" w:cs="宋体" w:hint="eastAsia"/>
                <w:sz w:val="24"/>
                <w:szCs w:val="24"/>
              </w:rPr>
              <w:br/>
              <w:t>指标</w:t>
            </w: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受益学校数</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≥1个</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39"/>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受益学生数</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≥15000人</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582"/>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可持续影响</w:t>
            </w:r>
            <w:r w:rsidRPr="00D41DDB">
              <w:rPr>
                <w:rFonts w:ascii="宋体" w:eastAsia="宋体" w:hAnsi="宋体" w:cs="宋体" w:hint="eastAsia"/>
                <w:sz w:val="24"/>
                <w:szCs w:val="24"/>
              </w:rPr>
              <w:br/>
              <w:t>指标</w:t>
            </w: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促进高校持续健康发展</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≥5年</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642"/>
        </w:trPr>
        <w:tc>
          <w:tcPr>
            <w:tcW w:w="1080" w:type="dxa"/>
            <w:vMerge/>
            <w:tcBorders>
              <w:top w:val="nil"/>
              <w:left w:val="single" w:sz="4" w:space="0" w:color="auto"/>
              <w:bottom w:val="single" w:sz="4" w:space="0" w:color="auto"/>
              <w:right w:val="single" w:sz="4" w:space="0" w:color="auto"/>
            </w:tcBorders>
            <w:vAlign w:val="center"/>
            <w:hideMark/>
          </w:tcPr>
          <w:p w:rsidR="00D41DDB" w:rsidRPr="00D41DDB" w:rsidRDefault="00D41DDB" w:rsidP="00D41DDB">
            <w:pPr>
              <w:adjustRightInd/>
              <w:snapToGrid/>
              <w:spacing w:after="0"/>
              <w:rPr>
                <w:rFonts w:ascii="宋体" w:eastAsia="宋体" w:hAnsi="宋体" w:cs="宋体"/>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满意度</w:t>
            </w:r>
            <w:r w:rsidRPr="00D41DDB">
              <w:rPr>
                <w:rFonts w:ascii="宋体" w:eastAsia="宋体" w:hAnsi="宋体" w:cs="宋体" w:hint="eastAsia"/>
                <w:sz w:val="24"/>
                <w:szCs w:val="24"/>
              </w:rPr>
              <w:br/>
              <w:t>指标</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服务对象</w:t>
            </w:r>
            <w:r w:rsidRPr="00D41DDB">
              <w:rPr>
                <w:rFonts w:ascii="宋体" w:eastAsia="宋体" w:hAnsi="宋体" w:cs="宋体" w:hint="eastAsia"/>
                <w:sz w:val="24"/>
                <w:szCs w:val="24"/>
              </w:rPr>
              <w:br/>
              <w:t>满意度指标</w:t>
            </w:r>
          </w:p>
        </w:tc>
        <w:tc>
          <w:tcPr>
            <w:tcW w:w="5400" w:type="dxa"/>
            <w:gridSpan w:val="2"/>
            <w:tcBorders>
              <w:top w:val="single" w:sz="4" w:space="0" w:color="auto"/>
              <w:left w:val="nil"/>
              <w:bottom w:val="single" w:sz="4" w:space="0" w:color="auto"/>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地方高校满意度</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1DDB" w:rsidRPr="00D41DDB" w:rsidRDefault="00D41DDB" w:rsidP="00D41DDB">
            <w:pPr>
              <w:adjustRightInd/>
              <w:snapToGrid/>
              <w:spacing w:after="0"/>
              <w:jc w:val="center"/>
              <w:rPr>
                <w:rFonts w:ascii="宋体" w:eastAsia="宋体" w:hAnsi="宋体" w:cs="宋体"/>
                <w:sz w:val="24"/>
                <w:szCs w:val="24"/>
              </w:rPr>
            </w:pPr>
            <w:r w:rsidRPr="00D41DDB">
              <w:rPr>
                <w:rFonts w:ascii="宋体" w:eastAsia="宋体" w:hAnsi="宋体" w:cs="宋体" w:hint="eastAsia"/>
                <w:sz w:val="24"/>
                <w:szCs w:val="24"/>
              </w:rPr>
              <w:t>≥85%</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r w:rsidR="00D41DDB" w:rsidRPr="00D41DDB" w:rsidTr="00D41DDB">
        <w:trPr>
          <w:trHeight w:val="480"/>
        </w:trPr>
        <w:tc>
          <w:tcPr>
            <w:tcW w:w="13520" w:type="dxa"/>
            <w:gridSpan w:val="8"/>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r w:rsidRPr="00D41DDB">
              <w:rPr>
                <w:rFonts w:ascii="宋体" w:eastAsia="宋体" w:hAnsi="宋体" w:cs="宋体" w:hint="eastAsia"/>
                <w:sz w:val="24"/>
                <w:szCs w:val="24"/>
              </w:rPr>
              <w:t>备    注：年度绩效指标可选择填写。</w:t>
            </w:r>
          </w:p>
        </w:tc>
        <w:tc>
          <w:tcPr>
            <w:tcW w:w="1080" w:type="dxa"/>
            <w:tcBorders>
              <w:top w:val="nil"/>
              <w:left w:val="nil"/>
              <w:bottom w:val="nil"/>
              <w:right w:val="nil"/>
            </w:tcBorders>
            <w:shd w:val="clear" w:color="auto" w:fill="auto"/>
            <w:vAlign w:val="center"/>
            <w:hideMark/>
          </w:tcPr>
          <w:p w:rsidR="00D41DDB" w:rsidRPr="00D41DDB" w:rsidRDefault="00D41DDB" w:rsidP="00D41DDB">
            <w:pPr>
              <w:adjustRightInd/>
              <w:snapToGrid/>
              <w:spacing w:after="0"/>
              <w:rPr>
                <w:rFonts w:ascii="宋体" w:eastAsia="宋体" w:hAnsi="宋体" w:cs="宋体"/>
                <w:sz w:val="24"/>
                <w:szCs w:val="24"/>
              </w:rPr>
            </w:pPr>
          </w:p>
        </w:tc>
      </w:tr>
    </w:tbl>
    <w:p w:rsidR="004358AB" w:rsidRPr="00D41DDB" w:rsidRDefault="004358AB" w:rsidP="00D41DDB"/>
    <w:sectPr w:rsidR="004358AB" w:rsidRPr="00D41DDB" w:rsidSect="00D41DDB">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pILWUnYdBuTD+vCFaawJDtd30eY=" w:salt="fsY1EoQ/vXE163aVCVbidw=="/>
  <w:defaultTabStop w:val="720"/>
  <w:drawingGridHorizontalSpacing w:val="110"/>
  <w:displayHorizontalDrawingGridEvery w:val="2"/>
  <w:characterSpacingControl w:val="doNotCompress"/>
  <w:compat>
    <w:useFELayout/>
  </w:compat>
  <w:rsids>
    <w:rsidRoot w:val="00D31D50"/>
    <w:rsid w:val="00017D04"/>
    <w:rsid w:val="000B30CB"/>
    <w:rsid w:val="00323B43"/>
    <w:rsid w:val="003D37D8"/>
    <w:rsid w:val="00426133"/>
    <w:rsid w:val="004358AB"/>
    <w:rsid w:val="008B7726"/>
    <w:rsid w:val="00975C0C"/>
    <w:rsid w:val="00D31D50"/>
    <w:rsid w:val="00D41D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986473">
      <w:bodyDiv w:val="1"/>
      <w:marLeft w:val="0"/>
      <w:marRight w:val="0"/>
      <w:marTop w:val="0"/>
      <w:marBottom w:val="0"/>
      <w:divBdr>
        <w:top w:val="none" w:sz="0" w:space="0" w:color="auto"/>
        <w:left w:val="none" w:sz="0" w:space="0" w:color="auto"/>
        <w:bottom w:val="none" w:sz="0" w:space="0" w:color="auto"/>
        <w:right w:val="none" w:sz="0" w:space="0" w:color="auto"/>
      </w:divBdr>
    </w:div>
    <w:div w:id="741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Words>
  <Characters>918</Characters>
  <Application>Microsoft Office Word</Application>
  <DocSecurity>8</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2019-04-12T02:59:00Z</dcterms:modified>
</cp:coreProperties>
</file>