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AC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附件2</w:t>
      </w:r>
    </w:p>
    <w:p w14:paraId="3BC4A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24"/>
          <w:lang w:val="en-US" w:eastAsia="zh-CN" w:bidi="ar-SA"/>
        </w:rPr>
      </w:pPr>
    </w:p>
    <w:p w14:paraId="28B39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880" w:firstLineChars="20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2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24"/>
          <w:lang w:val="en-US" w:eastAsia="zh-CN" w:bidi="ar-SA"/>
        </w:rPr>
        <w:t>咸阳市概念验证中心和中试基地申报指南</w:t>
      </w:r>
    </w:p>
    <w:p w14:paraId="60A1F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</w:pPr>
    </w:p>
    <w:p w14:paraId="5A6D35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平台类型</w:t>
      </w:r>
    </w:p>
    <w:p w14:paraId="096707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咸阳市中试基地、概念验证中心。</w:t>
      </w:r>
    </w:p>
    <w:p w14:paraId="0CC63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二、申报主体</w:t>
      </w:r>
    </w:p>
    <w:p w14:paraId="69C9E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申报单位为咸阳市域内外的高等学校、科研院所、企业等具有独立法人资格的创新主体。</w:t>
      </w:r>
    </w:p>
    <w:p w14:paraId="2F676D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firstLine="320" w:firstLineChars="10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申报条件</w:t>
      </w:r>
    </w:p>
    <w:p w14:paraId="74FC58F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lang w:val="en-US" w:eastAsia="zh-CN"/>
        </w:rPr>
        <w:t>（一）重点支持方向</w:t>
      </w:r>
    </w:p>
    <w:p w14:paraId="688B65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 围绕光电、数据、氢能及储能等未来产业，电子显示、中医药、能源化工、装备制造、新材料、新能源等我市重点产业，以及陕西省重点支持的光子、人工智能与机器人、智能网联汽车、第三代半导体等新赛道布局平台。</w:t>
      </w:r>
    </w:p>
    <w:p w14:paraId="307F1A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 支持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围绕构建咸阳市现代化产业体系，建设具有成果熟化、二次开发、工程化、工艺化等能力的，提供开放式服务的中试基地。</w:t>
      </w:r>
    </w:p>
    <w:p w14:paraId="5FA0B8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3. 支持围绕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科技成果商业化价值验证，对早期科技成果实施技术和市场化、产业化可行性评估论证的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概念验证中心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。要求主要面向社会提供科技成果遴选识别、可行性评估、商业化价值分析等概念验证服务。</w:t>
      </w:r>
    </w:p>
    <w:p w14:paraId="499472F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lang w:val="en-US" w:eastAsia="zh-CN"/>
        </w:rPr>
        <w:t>（二）具体条件</w:t>
      </w:r>
    </w:p>
    <w:p w14:paraId="315F55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1. 概念验证中心</w:t>
      </w:r>
    </w:p>
    <w:p w14:paraId="69CA87C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（1）支持高校科研院所、科技型领军企业、龙头骨干企业、科技园区等主体布局建设概念验证中心。申报主体不限注册地，具有独立法人资格，正常经营满1年，概念验证中心服务的科技成果优先在咸阳域内落地转化。</w:t>
      </w:r>
    </w:p>
    <w:p w14:paraId="4C4A71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（2）拥有概念验证服务相关资源，能够为概念验证项目提供供应链与渠道构建、产品成本控制与核算、投融资、市场分析、商业化支持等服务，开展概念验证服务所需的固定场地面积不少于200平方米，提供概念验证服务的实验设备、检验检测等软硬件设施原值不低于300万元。</w:t>
      </w:r>
    </w:p>
    <w:p w14:paraId="2D09FB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（3）建有对项目提供验证与试制、尽职调查、项目评估、财务和法律咨询等专业化服务团队，专职人员不少于5人，其中专职技术经理人不少于1人。</w:t>
      </w:r>
    </w:p>
    <w:p w14:paraId="64E309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-SA"/>
        </w:rPr>
        <w:t>（4）注册地在咸阳域内的，开放性概念验证服务成功案例不少于2个，概念验证项目收入不低于主营业务收入30%；注册地在咸阳域外的，具有固定转化到咸阳的概念验证项目来源，为咸阳提供开放性中试服务的成功案例不少于5个。</w:t>
      </w:r>
    </w:p>
    <w:p w14:paraId="363DAA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 w:bidi="ar-SA"/>
        </w:rPr>
        <w:t>（5）内部管理制度健全，建立包含筛选立项、验证辅导、管理考核等全流程概念验证服务体系。建有对外服务的激励机制，有明晰的对外服务承接程序和合理的收费标准，建立完善的知识产权保护相关制度及措施。</w:t>
      </w:r>
    </w:p>
    <w:p w14:paraId="778867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2. 中试基地</w:t>
      </w:r>
    </w:p>
    <w:p w14:paraId="7B085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-SA"/>
        </w:rPr>
        <w:t>（1）支持科技型领军企业、龙头骨干企业、产业链重点企业联合高校共建中试基地。申报主体不限注册地，具有独立法人资格，正常经营满1年，中试基地服务的科技成果优先落地转化在咸阳域内。</w:t>
      </w:r>
    </w:p>
    <w:p w14:paraId="74250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-SA"/>
        </w:rPr>
        <w:t>（2）中试基地具备固定场地，拥有承担本行业中试任务的专用仪器设备及配套设施。开展中试服务所需的固定场地面积不少于500平方米，中试生产线设备以及相关检验、检测等设备原值总和不低于500万元，新增设备价值总和不低于200万元。</w:t>
      </w:r>
    </w:p>
    <w:p w14:paraId="1A9C9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-SA"/>
        </w:rPr>
        <w:t>（3）中试基地拥有服务能力较强的专业技术人才队伍，技术团队人员不少于10人，其中具有硕士研究生（含）以上学历或中级（含）以上职称的科技人员不低于技术团队人员总数的50%，有来自合作高校院所稳定的专家咨询队伍3人及以上。技术人员对相关领域中试研究工作熟悉，能组织制定和执行科学合理的中试研究方案和规程。</w:t>
      </w:r>
    </w:p>
    <w:p w14:paraId="66CFC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-SA"/>
        </w:rPr>
        <w:t>（4）中试基地有稳定的高价值科技成果转化项目来源。注册地在咸阳域内的，开放性中试服务成功案例不少于2个，中试收入不低于200万元；注册地在咸阳域外的，为咸阳提供开放性中试服务的成功案例不少于5个。</w:t>
      </w:r>
    </w:p>
    <w:p w14:paraId="084B4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-SA"/>
        </w:rPr>
        <w:t>（5）中试基地需具有对外提供开放式服务的能力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-SA"/>
        </w:rPr>
        <w:t>，具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-SA"/>
        </w:rPr>
        <w:t>有完善的管理制度、规范化的服务流程、明确的中试服务范围和较高的服务质量。建设运营主体和法人代表无环境、安全、知识产权和税务等违法行为，无司法、行政机关认定的其他严重违法失信行为。</w:t>
      </w:r>
    </w:p>
    <w:p w14:paraId="494E3B7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lang w:val="en-US" w:eastAsia="zh-CN"/>
        </w:rPr>
        <w:t>（三）注意事项</w:t>
      </w:r>
    </w:p>
    <w:p w14:paraId="068E1F1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-SA"/>
        </w:rPr>
        <w:t>未尽事宜，按照《咸阳市概念验证中心认定和运行服务办法》《咸阳市中试基地认定和运行服务办法</w:t>
      </w:r>
      <w:r>
        <w:rPr>
          <w:rFonts w:hint="eastAsia" w:ascii="Times New Roman" w:hAnsi="Times New Roman" w:cs="Times New Roman"/>
          <w:color w:val="000000"/>
          <w:kern w:val="2"/>
          <w:sz w:val="32"/>
          <w:szCs w:val="32"/>
          <w:u w:val="none"/>
          <w:lang w:val="en-US" w:eastAsia="zh-CN" w:bidi="ar-SA"/>
        </w:rPr>
        <w:t>》等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-SA"/>
        </w:rPr>
        <w:t>相关规定执行</w:t>
      </w:r>
      <w:r>
        <w:rPr>
          <w:rFonts w:hint="default" w:ascii="Times New Roman" w:hAnsi="Times New Roman" w:cs="Times New Roman"/>
          <w:color w:val="000000"/>
          <w:kern w:val="2"/>
          <w:sz w:val="32"/>
          <w:szCs w:val="32"/>
          <w:u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详见市科技局官网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-SA"/>
        </w:rPr>
        <w:t>。</w:t>
      </w:r>
    </w:p>
    <w:p w14:paraId="41C16D0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615814"/>
    <w:multiLevelType w:val="singleLevel"/>
    <w:tmpl w:val="1061581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35358"/>
    <w:rsid w:val="48B3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600" w:lineRule="atLeast"/>
      <w:ind w:firstLine="880" w:firstLineChars="200"/>
    </w:pPr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2026-07-02T09:15:00Z</dcterms:created>
  <dc:creator> Catyxin</dc:creator>
  <cp:lastModifiedBy> Catyxin</cp:lastModifiedBy>
  <dcterms:modified xsi:type="dcterms:W3CDTF">2026-07-02T09:15:33Z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F42CB1879E114EFFBE62148164B98E5B_11</vt:lpwstr>
  </property>
  <property fmtid="{D5CDD505-2E9C-101B-9397-08002B2CF9AE}" pid="4" name="KSOTemplateDocerSaveRecord">
    <vt:lpwstr>eyJoZGlkIjoiMzkzN2RjNjAyYWNkOTkxMGQyMmQ5YzI4MjI0NDI4YmEiLCJ1c2VySWQiOiIzMjEzMzg2MzQifQ==</vt:lpwstr>
  </property>
</Properties>
</file>