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lang w:eastAsia="zh-CN"/>
        </w:rPr>
      </w:pPr>
      <w:r>
        <w:rPr>
          <w:rFonts w:hint="eastAsia"/>
          <w:sz w:val="28"/>
          <w:szCs w:val="28"/>
          <w:lang w:eastAsia="zh-CN"/>
        </w:rPr>
        <w:t>项目来源与编号：</w:t>
      </w:r>
    </w:p>
    <w:p>
      <w:pPr>
        <w:rPr>
          <w:rFonts w:hint="eastAsia"/>
          <w:lang w:eastAsia="zh-CN"/>
        </w:rPr>
      </w:pPr>
    </w:p>
    <w:p>
      <w:pPr>
        <w:rPr>
          <w:rFonts w:hint="eastAsia"/>
          <w:lang w:eastAsia="zh-CN"/>
        </w:rPr>
      </w:pPr>
    </w:p>
    <w:p>
      <w:pPr>
        <w:rPr>
          <w:rFonts w:hint="eastAsia"/>
          <w:sz w:val="44"/>
          <w:szCs w:val="44"/>
          <w:lang w:eastAsia="zh-CN"/>
        </w:rPr>
      </w:pPr>
    </w:p>
    <w:p>
      <w:pPr>
        <w:jc w:val="center"/>
        <w:rPr>
          <w:rFonts w:hint="eastAsia"/>
          <w:sz w:val="48"/>
          <w:szCs w:val="48"/>
          <w:lang w:val="en-US" w:eastAsia="zh-CN"/>
        </w:rPr>
      </w:pPr>
      <w:r>
        <w:rPr>
          <w:rFonts w:hint="eastAsia"/>
          <w:sz w:val="48"/>
          <w:szCs w:val="48"/>
          <w:lang w:val="en-US" w:eastAsia="zh-CN"/>
        </w:rPr>
        <w:t>*********研究方案</w:t>
      </w:r>
    </w:p>
    <w:p>
      <w:pPr>
        <w:jc w:val="center"/>
        <w:rPr>
          <w:rFonts w:hint="eastAsia"/>
          <w:sz w:val="44"/>
          <w:szCs w:val="44"/>
          <w:lang w:val="en-US" w:eastAsia="zh-CN"/>
        </w:rPr>
      </w:pPr>
    </w:p>
    <w:p>
      <w:pPr>
        <w:jc w:val="center"/>
        <w:rPr>
          <w:rFonts w:hint="eastAsia"/>
          <w:sz w:val="44"/>
          <w:szCs w:val="44"/>
          <w:lang w:val="en-US" w:eastAsia="zh-CN"/>
        </w:rPr>
      </w:pPr>
    </w:p>
    <w:p>
      <w:pPr>
        <w:jc w:val="center"/>
        <w:rPr>
          <w:rFonts w:hint="eastAsia"/>
          <w:sz w:val="44"/>
          <w:szCs w:val="44"/>
          <w:lang w:val="en-US" w:eastAsia="zh-CN"/>
        </w:rPr>
      </w:pPr>
    </w:p>
    <w:p>
      <w:pPr>
        <w:spacing w:line="600" w:lineRule="auto"/>
        <w:jc w:val="both"/>
        <w:rPr>
          <w:rFonts w:hint="default"/>
          <w:sz w:val="32"/>
          <w:szCs w:val="32"/>
          <w:lang w:val="en-US" w:eastAsia="zh-CN"/>
        </w:rPr>
      </w:pPr>
      <w:r>
        <w:rPr>
          <w:rFonts w:hint="eastAsia"/>
          <w:sz w:val="32"/>
          <w:szCs w:val="32"/>
          <w:lang w:val="en-US" w:eastAsia="zh-CN"/>
        </w:rPr>
        <w:t>组长单位：*******</w:t>
      </w:r>
    </w:p>
    <w:p>
      <w:pPr>
        <w:spacing w:line="600" w:lineRule="auto"/>
        <w:jc w:val="both"/>
        <w:rPr>
          <w:rFonts w:hint="default"/>
          <w:sz w:val="32"/>
          <w:szCs w:val="32"/>
          <w:lang w:val="en-US" w:eastAsia="zh-CN"/>
        </w:rPr>
      </w:pPr>
      <w:r>
        <w:rPr>
          <w:rFonts w:hint="eastAsia"/>
          <w:sz w:val="32"/>
          <w:szCs w:val="32"/>
          <w:lang w:val="en-US" w:eastAsia="zh-CN"/>
        </w:rPr>
        <w:t>项目负责人：***</w:t>
      </w:r>
    </w:p>
    <w:p>
      <w:pPr>
        <w:spacing w:line="600" w:lineRule="auto"/>
        <w:jc w:val="both"/>
        <w:rPr>
          <w:rFonts w:hint="default"/>
          <w:sz w:val="32"/>
          <w:szCs w:val="32"/>
          <w:lang w:val="en-US" w:eastAsia="zh-CN"/>
        </w:rPr>
      </w:pPr>
      <w:r>
        <w:rPr>
          <w:rFonts w:hint="eastAsia"/>
          <w:sz w:val="32"/>
          <w:szCs w:val="32"/>
          <w:lang w:val="en-US" w:eastAsia="zh-CN"/>
        </w:rPr>
        <w:t>承担科室：*******</w:t>
      </w:r>
    </w:p>
    <w:p>
      <w:pPr>
        <w:spacing w:line="600" w:lineRule="auto"/>
        <w:jc w:val="both"/>
        <w:rPr>
          <w:rFonts w:hint="default"/>
          <w:sz w:val="32"/>
          <w:szCs w:val="32"/>
          <w:lang w:val="en-US" w:eastAsia="zh-CN"/>
        </w:rPr>
      </w:pPr>
      <w:r>
        <w:rPr>
          <w:rFonts w:hint="eastAsia"/>
          <w:sz w:val="32"/>
          <w:szCs w:val="32"/>
          <w:lang w:val="en-US" w:eastAsia="zh-CN"/>
        </w:rPr>
        <w:t>联系电话：*******</w:t>
      </w:r>
    </w:p>
    <w:p>
      <w:pPr>
        <w:spacing w:line="600" w:lineRule="auto"/>
        <w:jc w:val="both"/>
        <w:rPr>
          <w:rFonts w:hint="default"/>
          <w:sz w:val="32"/>
          <w:szCs w:val="32"/>
          <w:lang w:val="en-US" w:eastAsia="zh-CN"/>
        </w:rPr>
      </w:pPr>
      <w:r>
        <w:rPr>
          <w:rFonts w:hint="eastAsia"/>
          <w:sz w:val="32"/>
          <w:szCs w:val="32"/>
          <w:lang w:val="en-US" w:eastAsia="zh-CN"/>
        </w:rPr>
        <w:t>参加单位：陕西中医药大学附属医院</w:t>
      </w:r>
    </w:p>
    <w:p>
      <w:pPr>
        <w:spacing w:line="600" w:lineRule="auto"/>
        <w:jc w:val="both"/>
        <w:rPr>
          <w:rFonts w:hint="default"/>
          <w:sz w:val="32"/>
          <w:szCs w:val="32"/>
          <w:lang w:val="en-US" w:eastAsia="zh-CN"/>
        </w:rPr>
      </w:pPr>
      <w:r>
        <w:rPr>
          <w:rFonts w:hint="eastAsia"/>
          <w:sz w:val="32"/>
          <w:szCs w:val="32"/>
          <w:lang w:val="en-US" w:eastAsia="zh-CN"/>
        </w:rPr>
        <w:t>研究年限：*******</w:t>
      </w:r>
    </w:p>
    <w:p>
      <w:pPr>
        <w:spacing w:line="600" w:lineRule="auto"/>
        <w:jc w:val="both"/>
        <w:rPr>
          <w:rFonts w:hint="default"/>
          <w:sz w:val="32"/>
          <w:szCs w:val="32"/>
          <w:lang w:val="en-US" w:eastAsia="zh-CN"/>
        </w:rPr>
      </w:pPr>
      <w:r>
        <w:rPr>
          <w:rFonts w:hint="eastAsia"/>
          <w:sz w:val="32"/>
          <w:szCs w:val="32"/>
          <w:lang w:val="en-US" w:eastAsia="zh-CN"/>
        </w:rPr>
        <w:t>版本</w:t>
      </w:r>
      <w:r>
        <w:rPr>
          <w:rFonts w:hint="default" w:ascii="Times New Roman" w:hAnsi="Times New Roman" w:cs="Times New Roman"/>
          <w:sz w:val="32"/>
          <w:szCs w:val="32"/>
          <w:lang w:val="en-US" w:eastAsia="zh-CN"/>
        </w:rPr>
        <w:t>号：</w:t>
      </w:r>
      <w:r>
        <w:rPr>
          <w:rFonts w:hint="eastAsia"/>
          <w:sz w:val="32"/>
          <w:szCs w:val="32"/>
          <w:lang w:val="en-US" w:eastAsia="zh-CN"/>
        </w:rPr>
        <w:t>*******</w:t>
      </w:r>
    </w:p>
    <w:p>
      <w:pPr>
        <w:spacing w:line="600" w:lineRule="auto"/>
        <w:jc w:val="both"/>
        <w:rPr>
          <w:rFonts w:hint="eastAsia"/>
          <w:sz w:val="32"/>
          <w:szCs w:val="32"/>
          <w:lang w:val="en-US" w:eastAsia="zh-CN"/>
        </w:rPr>
      </w:pPr>
      <w:r>
        <w:rPr>
          <w:rFonts w:hint="eastAsia"/>
          <w:sz w:val="32"/>
          <w:szCs w:val="32"/>
          <w:lang w:val="en-US" w:eastAsia="zh-CN"/>
        </w:rPr>
        <w:t>版本日期：*******</w:t>
      </w:r>
    </w:p>
    <w:p>
      <w:pPr>
        <w:spacing w:line="600" w:lineRule="auto"/>
        <w:jc w:val="both"/>
        <w:rPr>
          <w:rFonts w:hint="eastAsia"/>
          <w:sz w:val="32"/>
          <w:szCs w:val="32"/>
          <w:lang w:val="en-US" w:eastAsia="zh-CN"/>
        </w:rPr>
      </w:pPr>
    </w:p>
    <w:p>
      <w:pPr>
        <w:spacing w:line="600" w:lineRule="auto"/>
        <w:jc w:val="both"/>
        <w:rPr>
          <w:rFonts w:hint="eastAsia"/>
          <w:sz w:val="32"/>
          <w:szCs w:val="32"/>
          <w:lang w:val="en-US" w:eastAsia="zh-CN"/>
        </w:rPr>
      </w:pPr>
    </w:p>
    <w:p>
      <w:pPr>
        <w:pStyle w:val="2"/>
        <w:tabs>
          <w:tab w:val="center" w:pos="4819"/>
        </w:tabs>
        <w:spacing w:before="0" w:after="0"/>
        <w:jc w:val="center"/>
        <w:rPr>
          <w:rFonts w:eastAsiaTheme="majorEastAsia"/>
          <w:b/>
          <w:sz w:val="28"/>
        </w:rPr>
        <w:sectPr>
          <w:pgSz w:w="11906" w:h="16838"/>
          <w:pgMar w:top="1440" w:right="1800" w:bottom="1440" w:left="1800" w:header="851" w:footer="992" w:gutter="0"/>
          <w:pgNumType w:fmt="decimal"/>
          <w:cols w:space="425" w:num="1"/>
          <w:docGrid w:type="lines" w:linePitch="312" w:charSpace="0"/>
        </w:sectPr>
      </w:pPr>
      <w:bookmarkStart w:id="0" w:name="_Toc41507348"/>
    </w:p>
    <w:p>
      <w:pPr>
        <w:pStyle w:val="2"/>
        <w:tabs>
          <w:tab w:val="center" w:pos="4819"/>
        </w:tabs>
        <w:spacing w:before="0" w:after="0"/>
        <w:jc w:val="center"/>
        <w:rPr>
          <w:rFonts w:eastAsiaTheme="majorEastAsia"/>
          <w:b/>
          <w:sz w:val="28"/>
        </w:rPr>
      </w:pPr>
      <w:r>
        <w:rPr>
          <w:rFonts w:eastAsiaTheme="majorEastAsia"/>
          <w:b/>
          <w:sz w:val="28"/>
        </w:rPr>
        <w:t>方</w:t>
      </w:r>
      <w:r>
        <w:rPr>
          <w:rFonts w:hint="eastAsia" w:eastAsiaTheme="majorEastAsia"/>
          <w:b/>
          <w:sz w:val="28"/>
          <w:lang w:val="en-US" w:eastAsia="zh-CN"/>
        </w:rPr>
        <w:t xml:space="preserve"> </w:t>
      </w:r>
      <w:r>
        <w:rPr>
          <w:rFonts w:eastAsiaTheme="majorEastAsia"/>
          <w:b/>
          <w:sz w:val="28"/>
        </w:rPr>
        <w:t>案</w:t>
      </w:r>
      <w:r>
        <w:rPr>
          <w:rFonts w:hint="eastAsia" w:eastAsiaTheme="majorEastAsia"/>
          <w:b/>
          <w:sz w:val="28"/>
          <w:lang w:val="en-US" w:eastAsia="zh-CN"/>
        </w:rPr>
        <w:t xml:space="preserve"> </w:t>
      </w:r>
      <w:r>
        <w:rPr>
          <w:rFonts w:eastAsiaTheme="majorEastAsia"/>
          <w:b/>
          <w:sz w:val="28"/>
        </w:rPr>
        <w:t>摘</w:t>
      </w:r>
      <w:r>
        <w:rPr>
          <w:rFonts w:hint="eastAsia" w:eastAsiaTheme="majorEastAsia"/>
          <w:b/>
          <w:sz w:val="28"/>
          <w:lang w:val="en-US" w:eastAsia="zh-CN"/>
        </w:rPr>
        <w:t xml:space="preserve"> </w:t>
      </w:r>
      <w:r>
        <w:rPr>
          <w:rFonts w:eastAsiaTheme="majorEastAsia"/>
          <w:b/>
          <w:sz w:val="28"/>
        </w:rPr>
        <w:t>要</w:t>
      </w:r>
      <w:bookmarkEnd w:id="0"/>
    </w:p>
    <w:tbl>
      <w:tblPr>
        <w:tblStyle w:val="5"/>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7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spacing w:line="276" w:lineRule="auto"/>
              <w:ind w:left="42" w:leftChars="20" w:right="42" w:rightChars="20"/>
              <w:jc w:val="center"/>
              <w:rPr>
                <w:rFonts w:hint="eastAsia" w:eastAsiaTheme="majorEastAsia"/>
                <w:b/>
                <w:sz w:val="24"/>
                <w:szCs w:val="24"/>
                <w:lang w:val="en-US" w:eastAsia="zh-CN"/>
              </w:rPr>
            </w:pPr>
            <w:r>
              <w:rPr>
                <w:rFonts w:hint="eastAsia" w:eastAsiaTheme="majorEastAsia"/>
                <w:b/>
                <w:sz w:val="24"/>
                <w:szCs w:val="24"/>
                <w:lang w:val="en-US" w:eastAsia="zh-CN"/>
              </w:rPr>
              <w:t>项目名称</w:t>
            </w:r>
          </w:p>
        </w:tc>
        <w:tc>
          <w:tcPr>
            <w:tcW w:w="7506" w:type="dxa"/>
            <w:vAlign w:val="bottom"/>
          </w:tcPr>
          <w:p>
            <w:pPr>
              <w:spacing w:line="360" w:lineRule="auto"/>
              <w:ind w:right="42" w:rightChars="20"/>
              <w:rPr>
                <w:rFonts w:eastAsiaTheme="majorEastAsia"/>
                <w:sz w:val="24"/>
                <w:szCs w:val="24"/>
              </w:rPr>
            </w:pPr>
          </w:p>
          <w:p>
            <w:pPr>
              <w:spacing w:line="360" w:lineRule="auto"/>
              <w:ind w:right="42" w:rightChars="2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hint="eastAsia" w:eastAsiaTheme="majorEastAsia"/>
                <w:b/>
                <w:sz w:val="24"/>
                <w:szCs w:val="24"/>
                <w:lang w:eastAsia="zh-CN"/>
              </w:rPr>
              <w:t>研究</w:t>
            </w:r>
            <w:r>
              <w:rPr>
                <w:rFonts w:eastAsiaTheme="majorEastAsia"/>
                <w:b/>
                <w:sz w:val="24"/>
                <w:szCs w:val="24"/>
              </w:rPr>
              <w:t>目的</w:t>
            </w:r>
          </w:p>
        </w:tc>
        <w:tc>
          <w:tcPr>
            <w:tcW w:w="7506" w:type="dxa"/>
          </w:tcPr>
          <w:p>
            <w:pPr>
              <w:spacing w:line="360" w:lineRule="auto"/>
              <w:ind w:right="42" w:rightChars="20"/>
              <w:rPr>
                <w:rFonts w:eastAsiaTheme="majorEastAsia"/>
                <w:sz w:val="24"/>
                <w:szCs w:val="24"/>
              </w:rPr>
            </w:pPr>
          </w:p>
          <w:p>
            <w:pPr>
              <w:spacing w:line="360" w:lineRule="auto"/>
              <w:ind w:right="42" w:rightChars="2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hint="eastAsia" w:eastAsiaTheme="majorEastAsia"/>
                <w:b/>
                <w:sz w:val="24"/>
                <w:szCs w:val="24"/>
                <w:lang w:eastAsia="zh-CN"/>
              </w:rPr>
              <w:t>研究</w:t>
            </w:r>
            <w:r>
              <w:rPr>
                <w:rFonts w:eastAsiaTheme="majorEastAsia"/>
                <w:b/>
                <w:sz w:val="24"/>
                <w:szCs w:val="24"/>
              </w:rPr>
              <w:t>设计</w:t>
            </w:r>
          </w:p>
        </w:tc>
        <w:tc>
          <w:tcPr>
            <w:tcW w:w="7506" w:type="dxa"/>
            <w:vAlign w:val="center"/>
          </w:tcPr>
          <w:p>
            <w:pPr>
              <w:spacing w:line="360" w:lineRule="auto"/>
              <w:ind w:right="42" w:rightChars="20"/>
              <w:rPr>
                <w:rFonts w:eastAsiaTheme="majorEastAsia"/>
                <w:sz w:val="24"/>
                <w:szCs w:val="24"/>
              </w:rPr>
            </w:pPr>
          </w:p>
          <w:p>
            <w:pPr>
              <w:spacing w:line="360" w:lineRule="auto"/>
              <w:ind w:right="42" w:rightChars="2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autoSpaceDE w:val="0"/>
              <w:autoSpaceDN w:val="0"/>
              <w:spacing w:line="276" w:lineRule="auto"/>
              <w:ind w:left="42" w:leftChars="20" w:right="42" w:rightChars="20"/>
              <w:jc w:val="center"/>
              <w:rPr>
                <w:rFonts w:eastAsiaTheme="majorEastAsia"/>
                <w:b/>
                <w:sz w:val="24"/>
                <w:szCs w:val="24"/>
              </w:rPr>
            </w:pPr>
            <w:r>
              <w:rPr>
                <w:rFonts w:eastAsiaTheme="majorEastAsia"/>
                <w:b/>
                <w:sz w:val="24"/>
                <w:szCs w:val="24"/>
              </w:rPr>
              <w:t>样本含量</w:t>
            </w:r>
          </w:p>
        </w:tc>
        <w:tc>
          <w:tcPr>
            <w:tcW w:w="7506" w:type="dxa"/>
            <w:shd w:val="clear" w:color="auto" w:fill="auto"/>
            <w:vAlign w:val="center"/>
          </w:tcPr>
          <w:p>
            <w:pPr>
              <w:spacing w:line="360" w:lineRule="auto"/>
              <w:rPr>
                <w:rFonts w:eastAsiaTheme="majorEastAsia"/>
                <w:b/>
                <w:bCs/>
                <w:color w:val="FF0000"/>
                <w:sz w:val="24"/>
                <w:szCs w:val="24"/>
                <w:shd w:val="pct10" w:color="auto" w:fill="FFFFFF"/>
              </w:rPr>
            </w:pPr>
          </w:p>
          <w:p>
            <w:pPr>
              <w:spacing w:line="360" w:lineRule="auto"/>
              <w:rPr>
                <w:rFonts w:eastAsiaTheme="majorEastAsia"/>
                <w:b/>
                <w:bCs/>
                <w:color w:val="FF0000"/>
                <w:sz w:val="24"/>
                <w:szCs w:val="24"/>
                <w:shd w:val="pct10"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eastAsiaTheme="majorEastAsia"/>
                <w:b/>
                <w:sz w:val="24"/>
                <w:szCs w:val="24"/>
              </w:rPr>
              <w:t>入组标准</w:t>
            </w:r>
          </w:p>
        </w:tc>
        <w:tc>
          <w:tcPr>
            <w:tcW w:w="7506" w:type="dxa"/>
          </w:tcPr>
          <w:p>
            <w:pPr>
              <w:spacing w:line="360" w:lineRule="auto"/>
              <w:ind w:right="42" w:rightChars="20"/>
              <w:rPr>
                <w:rFonts w:eastAsiaTheme="majorEastAsia"/>
                <w:bCs/>
                <w:sz w:val="24"/>
                <w:szCs w:val="24"/>
              </w:rPr>
            </w:pPr>
          </w:p>
          <w:p>
            <w:pPr>
              <w:spacing w:line="360" w:lineRule="auto"/>
              <w:ind w:right="42" w:rightChars="20"/>
              <w:rPr>
                <w:rFonts w:eastAsiaTheme="maj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eastAsiaTheme="majorEastAsia"/>
                <w:b/>
                <w:sz w:val="24"/>
                <w:szCs w:val="24"/>
              </w:rPr>
              <w:t>排除标准</w:t>
            </w:r>
          </w:p>
        </w:tc>
        <w:tc>
          <w:tcPr>
            <w:tcW w:w="7506" w:type="dxa"/>
            <w:vAlign w:val="center"/>
          </w:tcPr>
          <w:p>
            <w:pPr>
              <w:autoSpaceDE w:val="0"/>
              <w:autoSpaceDN w:val="0"/>
              <w:spacing w:line="360" w:lineRule="auto"/>
              <w:ind w:right="42" w:rightChars="20"/>
              <w:rPr>
                <w:rFonts w:eastAsiaTheme="majorEastAsia"/>
                <w:bCs/>
                <w:sz w:val="24"/>
                <w:szCs w:val="24"/>
              </w:rPr>
            </w:pPr>
          </w:p>
          <w:p>
            <w:pPr>
              <w:autoSpaceDE w:val="0"/>
              <w:autoSpaceDN w:val="0"/>
              <w:spacing w:line="360" w:lineRule="auto"/>
              <w:ind w:right="42" w:rightChars="20"/>
              <w:rPr>
                <w:rFonts w:eastAsiaTheme="maj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eastAsiaTheme="majorEastAsia"/>
                <w:b/>
                <w:sz w:val="24"/>
                <w:szCs w:val="24"/>
              </w:rPr>
              <w:t>治疗方案及疗程</w:t>
            </w:r>
          </w:p>
        </w:tc>
        <w:tc>
          <w:tcPr>
            <w:tcW w:w="7506" w:type="dxa"/>
          </w:tcPr>
          <w:p>
            <w:pPr>
              <w:autoSpaceDE w:val="0"/>
              <w:autoSpaceDN w:val="0"/>
              <w:spacing w:line="360" w:lineRule="auto"/>
              <w:ind w:left="42" w:leftChars="20" w:right="42" w:rightChars="20"/>
              <w:rPr>
                <w:rFonts w:eastAsiaTheme="majorEastAsia"/>
                <w:sz w:val="24"/>
                <w:szCs w:val="24"/>
              </w:rPr>
            </w:pPr>
          </w:p>
          <w:p>
            <w:pPr>
              <w:autoSpaceDE w:val="0"/>
              <w:autoSpaceDN w:val="0"/>
              <w:spacing w:line="360" w:lineRule="auto"/>
              <w:ind w:left="42" w:leftChars="20" w:right="42" w:rightChars="20"/>
              <w:rPr>
                <w:rFonts w:eastAsiaTheme="majorEastAsia"/>
                <w:sz w:val="24"/>
                <w:szCs w:val="24"/>
              </w:rPr>
            </w:pPr>
          </w:p>
          <w:p>
            <w:pPr>
              <w:autoSpaceDE w:val="0"/>
              <w:autoSpaceDN w:val="0"/>
              <w:spacing w:line="360" w:lineRule="auto"/>
              <w:ind w:left="42" w:leftChars="20" w:right="42" w:rightChars="2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eastAsiaTheme="majorEastAsia"/>
                <w:b/>
                <w:sz w:val="24"/>
                <w:szCs w:val="24"/>
              </w:rPr>
              <w:t>安全性指标</w:t>
            </w:r>
          </w:p>
        </w:tc>
        <w:tc>
          <w:tcPr>
            <w:tcW w:w="7506" w:type="dxa"/>
          </w:tcPr>
          <w:p>
            <w:pPr>
              <w:spacing w:line="360" w:lineRule="auto"/>
              <w:ind w:right="42" w:rightChars="20"/>
              <w:rPr>
                <w:rFonts w:eastAsiaTheme="majorEastAsia"/>
                <w:sz w:val="24"/>
                <w:szCs w:val="24"/>
              </w:rPr>
            </w:pPr>
          </w:p>
          <w:p>
            <w:pPr>
              <w:spacing w:line="360" w:lineRule="auto"/>
              <w:ind w:right="42" w:rightChars="2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eastAsiaTheme="majorEastAsia"/>
                <w:b/>
                <w:sz w:val="24"/>
                <w:szCs w:val="24"/>
              </w:rPr>
              <w:t>筛查指标</w:t>
            </w:r>
          </w:p>
        </w:tc>
        <w:tc>
          <w:tcPr>
            <w:tcW w:w="7506" w:type="dxa"/>
            <w:vAlign w:val="center"/>
          </w:tcPr>
          <w:p>
            <w:pPr>
              <w:spacing w:line="360" w:lineRule="auto"/>
              <w:ind w:left="42" w:leftChars="20" w:right="42" w:rightChars="20"/>
              <w:rPr>
                <w:rFonts w:eastAsiaTheme="majorEastAsia"/>
                <w:sz w:val="24"/>
                <w:szCs w:val="24"/>
              </w:rPr>
            </w:pPr>
          </w:p>
          <w:p>
            <w:pPr>
              <w:spacing w:line="360" w:lineRule="auto"/>
              <w:ind w:left="42" w:leftChars="20" w:right="42" w:rightChars="2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eastAsiaTheme="majorEastAsia"/>
                <w:b/>
                <w:sz w:val="24"/>
                <w:szCs w:val="24"/>
              </w:rPr>
              <w:t>疗效指标</w:t>
            </w:r>
          </w:p>
        </w:tc>
        <w:tc>
          <w:tcPr>
            <w:tcW w:w="7506" w:type="dxa"/>
          </w:tcPr>
          <w:p>
            <w:pPr>
              <w:spacing w:line="360" w:lineRule="auto"/>
              <w:ind w:left="59" w:leftChars="28"/>
              <w:rPr>
                <w:rFonts w:eastAsiaTheme="majorEastAsia"/>
                <w:sz w:val="24"/>
                <w:szCs w:val="24"/>
              </w:rPr>
            </w:pPr>
          </w:p>
          <w:p>
            <w:pPr>
              <w:spacing w:line="360" w:lineRule="auto"/>
              <w:ind w:left="59" w:leftChars="28"/>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hint="eastAsia" w:eastAsiaTheme="majorEastAsia"/>
                <w:b/>
                <w:sz w:val="24"/>
                <w:szCs w:val="24"/>
              </w:rPr>
              <w:t>系统生物学指标</w:t>
            </w:r>
          </w:p>
        </w:tc>
        <w:tc>
          <w:tcPr>
            <w:tcW w:w="7506" w:type="dxa"/>
          </w:tcPr>
          <w:p>
            <w:pPr>
              <w:numPr>
                <w:ilvl w:val="0"/>
                <w:numId w:val="0"/>
              </w:numPr>
              <w:spacing w:line="360" w:lineRule="auto"/>
              <w:ind w:leftChars="-175" w:right="42" w:rightChars="20"/>
              <w:rPr>
                <w:rFonts w:eastAsiaTheme="majorEastAsia"/>
                <w:sz w:val="24"/>
                <w:szCs w:val="24"/>
              </w:rPr>
            </w:pPr>
          </w:p>
          <w:p>
            <w:pPr>
              <w:numPr>
                <w:ilvl w:val="0"/>
                <w:numId w:val="0"/>
              </w:numPr>
              <w:spacing w:line="360" w:lineRule="auto"/>
              <w:ind w:leftChars="-175" w:right="42" w:rightChars="2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spacing w:line="276" w:lineRule="auto"/>
              <w:ind w:left="42" w:leftChars="20" w:right="42" w:rightChars="20"/>
              <w:jc w:val="center"/>
              <w:rPr>
                <w:rFonts w:eastAsiaTheme="majorEastAsia"/>
                <w:b/>
                <w:sz w:val="24"/>
                <w:szCs w:val="24"/>
              </w:rPr>
            </w:pPr>
            <w:r>
              <w:rPr>
                <w:rFonts w:hint="eastAsia" w:eastAsiaTheme="majorEastAsia"/>
                <w:b/>
                <w:sz w:val="24"/>
                <w:szCs w:val="24"/>
              </w:rPr>
              <w:t>统计方法</w:t>
            </w:r>
          </w:p>
        </w:tc>
        <w:tc>
          <w:tcPr>
            <w:tcW w:w="7506" w:type="dxa"/>
          </w:tcPr>
          <w:p>
            <w:pPr>
              <w:spacing w:line="360" w:lineRule="auto"/>
              <w:ind w:right="42" w:rightChars="20" w:firstLine="480" w:firstLineChars="200"/>
              <w:rPr>
                <w:rFonts w:eastAsiaTheme="majorEastAsia"/>
                <w:sz w:val="24"/>
                <w:szCs w:val="24"/>
              </w:rPr>
            </w:pPr>
          </w:p>
          <w:p>
            <w:pPr>
              <w:spacing w:line="360" w:lineRule="auto"/>
              <w:ind w:right="42" w:rightChars="20" w:firstLine="480" w:firstLineChars="200"/>
              <w:rPr>
                <w:rFonts w:eastAsia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30" w:type="dxa"/>
            <w:shd w:val="clear" w:color="auto" w:fill="auto"/>
            <w:vAlign w:val="center"/>
          </w:tcPr>
          <w:p>
            <w:pPr>
              <w:spacing w:line="276" w:lineRule="auto"/>
              <w:ind w:left="42" w:leftChars="20" w:right="42" w:rightChars="20"/>
              <w:jc w:val="center"/>
              <w:rPr>
                <w:rFonts w:hint="eastAsia" w:eastAsiaTheme="majorEastAsia"/>
                <w:b/>
                <w:sz w:val="24"/>
                <w:szCs w:val="24"/>
                <w:lang w:eastAsia="zh-CN"/>
              </w:rPr>
            </w:pPr>
            <w:r>
              <w:rPr>
                <w:rFonts w:hint="eastAsia" w:eastAsiaTheme="majorEastAsia"/>
                <w:b/>
                <w:sz w:val="24"/>
                <w:szCs w:val="24"/>
                <w:lang w:eastAsia="zh-CN"/>
              </w:rPr>
              <w:t>研究期限</w:t>
            </w:r>
          </w:p>
        </w:tc>
        <w:tc>
          <w:tcPr>
            <w:tcW w:w="7506" w:type="dxa"/>
          </w:tcPr>
          <w:p>
            <w:pPr>
              <w:spacing w:line="360" w:lineRule="auto"/>
              <w:ind w:right="42" w:rightChars="20" w:firstLine="480" w:firstLineChars="200"/>
              <w:rPr>
                <w:rFonts w:eastAsiaTheme="majorEastAsia"/>
                <w:sz w:val="24"/>
                <w:szCs w:val="24"/>
              </w:rPr>
            </w:pPr>
          </w:p>
          <w:p>
            <w:pPr>
              <w:spacing w:line="360" w:lineRule="auto"/>
              <w:ind w:right="42" w:rightChars="20" w:firstLine="480" w:firstLineChars="200"/>
              <w:rPr>
                <w:rFonts w:eastAsiaTheme="majorEastAsia"/>
                <w:sz w:val="24"/>
                <w:szCs w:val="24"/>
              </w:rPr>
            </w:pPr>
          </w:p>
        </w:tc>
      </w:tr>
    </w:tbl>
    <w:p>
      <w:pPr>
        <w:numPr>
          <w:ilvl w:val="0"/>
          <w:numId w:val="1"/>
        </w:numPr>
        <w:spacing w:line="600" w:lineRule="auto"/>
        <w:jc w:val="both"/>
        <w:rPr>
          <w:rFonts w:hint="eastAsia"/>
          <w:sz w:val="32"/>
          <w:szCs w:val="32"/>
          <w:lang w:val="en-US" w:eastAsia="zh-CN"/>
        </w:rPr>
      </w:pPr>
      <w:r>
        <w:rPr>
          <w:rFonts w:hint="eastAsia"/>
          <w:sz w:val="32"/>
          <w:szCs w:val="32"/>
          <w:lang w:val="en-US" w:eastAsia="zh-CN"/>
        </w:rPr>
        <w:t>研究背景</w:t>
      </w:r>
    </w:p>
    <w:p>
      <w:pPr>
        <w:numPr>
          <w:ilvl w:val="0"/>
          <w:numId w:val="0"/>
        </w:numPr>
        <w:spacing w:line="600" w:lineRule="auto"/>
        <w:jc w:val="both"/>
        <w:rPr>
          <w:rFonts w:hint="eastAsia" w:eastAsiaTheme="majorEastAsia"/>
          <w:b w:val="0"/>
          <w:bCs/>
          <w:color w:val="C00000"/>
          <w:sz w:val="28"/>
          <w:szCs w:val="28"/>
          <w:lang w:val="zh-CN"/>
        </w:rPr>
      </w:pPr>
      <w:r>
        <w:rPr>
          <w:rFonts w:hint="eastAsia" w:eastAsiaTheme="majorEastAsia"/>
          <w:b w:val="0"/>
          <w:bCs/>
          <w:color w:val="C00000"/>
          <w:sz w:val="28"/>
          <w:szCs w:val="28"/>
          <w:lang w:val="zh-CN"/>
        </w:rPr>
        <w:t>阐述本研究的</w:t>
      </w:r>
      <w:r>
        <w:rPr>
          <w:rFonts w:eastAsiaTheme="majorEastAsia"/>
          <w:b w:val="0"/>
          <w:bCs/>
          <w:color w:val="C00000"/>
          <w:sz w:val="28"/>
          <w:szCs w:val="28"/>
          <w:lang w:val="zh-CN"/>
        </w:rPr>
        <w:t>国内外研究现状</w:t>
      </w:r>
      <w:r>
        <w:rPr>
          <w:rFonts w:hint="eastAsia" w:eastAsiaTheme="majorEastAsia"/>
          <w:b w:val="0"/>
          <w:bCs/>
          <w:color w:val="C00000"/>
          <w:sz w:val="28"/>
          <w:szCs w:val="28"/>
          <w:lang w:val="zh-CN"/>
        </w:rPr>
        <w:t>，选题的价值和意义</w:t>
      </w:r>
    </w:p>
    <w:p>
      <w:pPr>
        <w:numPr>
          <w:ilvl w:val="0"/>
          <w:numId w:val="0"/>
        </w:numPr>
        <w:spacing w:line="600" w:lineRule="auto"/>
        <w:jc w:val="both"/>
        <w:rPr>
          <w:rFonts w:hint="eastAsia" w:eastAsiaTheme="majorEastAsia"/>
          <w:b w:val="0"/>
          <w:bCs/>
          <w:color w:val="C00000"/>
          <w:sz w:val="28"/>
          <w:szCs w:val="28"/>
          <w:lang w:val="zh-CN"/>
        </w:rPr>
      </w:pPr>
    </w:p>
    <w:p>
      <w:pPr>
        <w:numPr>
          <w:ilvl w:val="0"/>
          <w:numId w:val="1"/>
        </w:numPr>
        <w:spacing w:line="600" w:lineRule="auto"/>
        <w:jc w:val="both"/>
        <w:rPr>
          <w:rFonts w:hint="eastAsia"/>
          <w:sz w:val="32"/>
          <w:szCs w:val="32"/>
          <w:lang w:val="zh-CN" w:eastAsia="zh-CN"/>
        </w:rPr>
      </w:pPr>
      <w:r>
        <w:rPr>
          <w:rFonts w:hint="eastAsia"/>
          <w:sz w:val="32"/>
          <w:szCs w:val="32"/>
          <w:lang w:val="zh-CN" w:eastAsia="zh-CN"/>
        </w:rPr>
        <w:t>研究目的</w:t>
      </w:r>
    </w:p>
    <w:p>
      <w:pPr>
        <w:numPr>
          <w:ilvl w:val="0"/>
          <w:numId w:val="0"/>
        </w:numPr>
        <w:spacing w:line="600" w:lineRule="auto"/>
        <w:jc w:val="both"/>
        <w:rPr>
          <w:rFonts w:hint="default" w:ascii="Times New Roman" w:hAnsi="Times New Roman" w:cs="Times New Roman" w:eastAsiaTheme="majorEastAsia"/>
          <w:b w:val="0"/>
          <w:bCs/>
          <w:color w:val="C00000"/>
          <w:sz w:val="28"/>
          <w:szCs w:val="28"/>
          <w:lang w:val="en-US" w:eastAsia="zh-CN"/>
        </w:rPr>
      </w:pPr>
      <w:r>
        <w:rPr>
          <w:rFonts w:hint="default" w:ascii="Times New Roman" w:hAnsi="Times New Roman" w:cs="Times New Roman" w:eastAsiaTheme="majorEastAsia"/>
          <w:b w:val="0"/>
          <w:bCs/>
          <w:color w:val="auto"/>
          <w:sz w:val="28"/>
          <w:szCs w:val="28"/>
          <w:lang w:val="en-US" w:eastAsia="zh-CN"/>
        </w:rPr>
        <w:t>1.主要目的：</w:t>
      </w:r>
      <w:r>
        <w:rPr>
          <w:rFonts w:hint="default" w:ascii="Times New Roman" w:hAnsi="Times New Roman" w:cs="Times New Roman" w:eastAsiaTheme="majorEastAsia"/>
          <w:b w:val="0"/>
          <w:bCs/>
          <w:color w:val="C00000"/>
          <w:sz w:val="28"/>
          <w:szCs w:val="28"/>
          <w:lang w:val="en-US" w:eastAsia="zh-CN"/>
        </w:rPr>
        <w:t>******</w:t>
      </w:r>
    </w:p>
    <w:p>
      <w:pPr>
        <w:numPr>
          <w:ilvl w:val="0"/>
          <w:numId w:val="0"/>
        </w:numPr>
        <w:spacing w:line="600" w:lineRule="auto"/>
        <w:jc w:val="both"/>
        <w:rPr>
          <w:rFonts w:hint="default" w:eastAsiaTheme="majorEastAsia"/>
          <w:b w:val="0"/>
          <w:bCs/>
          <w:color w:val="C00000"/>
          <w:sz w:val="28"/>
          <w:szCs w:val="28"/>
          <w:lang w:val="en-US" w:eastAsia="zh-CN"/>
        </w:rPr>
      </w:pPr>
      <w:r>
        <w:rPr>
          <w:rFonts w:hint="default" w:ascii="Times New Roman" w:hAnsi="Times New Roman" w:cs="Times New Roman" w:eastAsiaTheme="majorEastAsia"/>
          <w:b w:val="0"/>
          <w:bCs/>
          <w:color w:val="auto"/>
          <w:sz w:val="28"/>
          <w:szCs w:val="28"/>
          <w:lang w:val="en-US" w:eastAsia="zh-CN"/>
        </w:rPr>
        <w:t>2.次</w:t>
      </w:r>
      <w:r>
        <w:rPr>
          <w:rFonts w:hint="eastAsia" w:eastAsiaTheme="majorEastAsia"/>
          <w:b w:val="0"/>
          <w:bCs/>
          <w:color w:val="auto"/>
          <w:sz w:val="28"/>
          <w:szCs w:val="28"/>
          <w:lang w:val="en-US" w:eastAsia="zh-CN"/>
        </w:rPr>
        <w:t>要目的：</w:t>
      </w:r>
      <w:r>
        <w:rPr>
          <w:rFonts w:hint="eastAsia" w:eastAsiaTheme="majorEastAsia"/>
          <w:b w:val="0"/>
          <w:bCs/>
          <w:color w:val="C00000"/>
          <w:sz w:val="28"/>
          <w:szCs w:val="28"/>
          <w:lang w:val="en-US" w:eastAsia="zh-CN"/>
        </w:rPr>
        <w:t>******</w:t>
      </w:r>
    </w:p>
    <w:p>
      <w:pPr>
        <w:numPr>
          <w:ilvl w:val="0"/>
          <w:numId w:val="0"/>
        </w:numPr>
        <w:spacing w:line="600" w:lineRule="auto"/>
        <w:jc w:val="both"/>
        <w:rPr>
          <w:rFonts w:hint="eastAsia" w:eastAsiaTheme="majorEastAsia"/>
          <w:b w:val="0"/>
          <w:bCs/>
          <w:color w:val="C00000"/>
          <w:sz w:val="28"/>
          <w:szCs w:val="28"/>
          <w:lang w:val="en-US" w:eastAsia="zh-CN"/>
        </w:rPr>
      </w:pPr>
    </w:p>
    <w:p>
      <w:pPr>
        <w:numPr>
          <w:ilvl w:val="0"/>
          <w:numId w:val="1"/>
        </w:numPr>
        <w:spacing w:line="600" w:lineRule="auto"/>
        <w:ind w:left="0" w:leftChars="0" w:firstLine="0" w:firstLineChars="0"/>
        <w:jc w:val="both"/>
        <w:rPr>
          <w:rFonts w:hint="eastAsia"/>
          <w:sz w:val="32"/>
          <w:szCs w:val="32"/>
          <w:lang w:val="en-US" w:eastAsia="zh-CN"/>
        </w:rPr>
      </w:pPr>
      <w:r>
        <w:rPr>
          <w:rFonts w:hint="eastAsia"/>
          <w:sz w:val="32"/>
          <w:szCs w:val="32"/>
          <w:lang w:val="en-US" w:eastAsia="zh-CN"/>
        </w:rPr>
        <w:t>研究设计类型、原则与试验</w:t>
      </w:r>
      <w:bookmarkStart w:id="1" w:name="_GoBack"/>
      <w:bookmarkEnd w:id="1"/>
      <w:r>
        <w:rPr>
          <w:rFonts w:hint="eastAsia"/>
          <w:sz w:val="32"/>
          <w:szCs w:val="32"/>
          <w:lang w:val="en-US" w:eastAsia="zh-CN"/>
        </w:rPr>
        <w:t>步骤</w:t>
      </w:r>
    </w:p>
    <w:p>
      <w:pPr>
        <w:numPr>
          <w:ilvl w:val="0"/>
          <w:numId w:val="0"/>
        </w:numPr>
        <w:spacing w:line="600" w:lineRule="auto"/>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1..研究设计</w:t>
      </w:r>
    </w:p>
    <w:p>
      <w:pPr>
        <w:numPr>
          <w:ilvl w:val="0"/>
          <w:numId w:val="0"/>
        </w:numPr>
        <w:spacing w:line="600" w:lineRule="auto"/>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说明研究设计的类型、随机化分组方法、设盲水平、研究中心、样本量的计算依据和公式。适应症的合理性及确定依据。</w:t>
      </w:r>
    </w:p>
    <w:p>
      <w:pPr>
        <w:numPr>
          <w:ilvl w:val="0"/>
          <w:numId w:val="2"/>
        </w:numPr>
        <w:spacing w:line="600" w:lineRule="auto"/>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研究步骤</w:t>
      </w:r>
    </w:p>
    <w:p>
      <w:pPr>
        <w:numPr>
          <w:ilvl w:val="0"/>
          <w:numId w:val="0"/>
        </w:numPr>
        <w:spacing w:line="600" w:lineRule="auto"/>
        <w:jc w:val="both"/>
        <w:rPr>
          <w:rFonts w:hint="eastAsia" w:ascii="Times New Roman" w:hAnsi="Times New Roman" w:cs="Times New Roman" w:eastAsiaTheme="majorEastAsia"/>
          <w:b w:val="0"/>
          <w:bCs/>
          <w:color w:val="auto"/>
          <w:sz w:val="28"/>
          <w:szCs w:val="28"/>
          <w:lang w:val="en-US" w:eastAsia="zh-CN"/>
        </w:rPr>
      </w:pPr>
    </w:p>
    <w:p>
      <w:pPr>
        <w:numPr>
          <w:ilvl w:val="0"/>
          <w:numId w:val="1"/>
        </w:numPr>
        <w:spacing w:line="600" w:lineRule="auto"/>
        <w:ind w:left="0" w:leftChars="0" w:firstLine="0" w:firstLineChars="0"/>
        <w:jc w:val="both"/>
        <w:rPr>
          <w:rFonts w:hint="eastAsia"/>
          <w:sz w:val="32"/>
          <w:szCs w:val="32"/>
          <w:lang w:val="en-US" w:eastAsia="zh-CN"/>
        </w:rPr>
      </w:pPr>
      <w:r>
        <w:rPr>
          <w:rFonts w:hint="eastAsia"/>
          <w:sz w:val="32"/>
          <w:szCs w:val="32"/>
          <w:lang w:val="en-US" w:eastAsia="zh-CN"/>
        </w:rPr>
        <w:t>病例选择</w:t>
      </w:r>
    </w:p>
    <w:p>
      <w:pPr>
        <w:numPr>
          <w:ilvl w:val="0"/>
          <w:numId w:val="0"/>
        </w:numPr>
        <w:spacing w:line="600" w:lineRule="auto"/>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（阐述清楚研究对象的选择及相关标准的合理性、科可行性）</w:t>
      </w:r>
    </w:p>
    <w:p>
      <w:pPr>
        <w:numPr>
          <w:ilvl w:val="0"/>
          <w:numId w:val="3"/>
        </w:numPr>
        <w:spacing w:line="600" w:lineRule="auto"/>
        <w:jc w:val="both"/>
        <w:rPr>
          <w:rFonts w:hint="default"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诊断标准</w:t>
      </w:r>
    </w:p>
    <w:p>
      <w:pPr>
        <w:numPr>
          <w:ilvl w:val="0"/>
          <w:numId w:val="3"/>
        </w:numPr>
        <w:spacing w:line="600" w:lineRule="auto"/>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纳入标准</w:t>
      </w:r>
    </w:p>
    <w:p>
      <w:pPr>
        <w:widowControl w:val="0"/>
        <w:numPr>
          <w:ilvl w:val="0"/>
          <w:numId w:val="0"/>
        </w:numPr>
        <w:spacing w:line="600" w:lineRule="auto"/>
        <w:jc w:val="both"/>
        <w:rPr>
          <w:rFonts w:hint="eastAsia" w:ascii="Times New Roman" w:hAnsi="Times New Roman" w:cs="Times New Roman" w:eastAsiaTheme="majorEastAsia"/>
          <w:b w:val="0"/>
          <w:bCs/>
          <w:color w:val="auto"/>
          <w:sz w:val="28"/>
          <w:szCs w:val="28"/>
          <w:lang w:val="en-US" w:eastAsia="zh-CN"/>
        </w:rPr>
      </w:pPr>
    </w:p>
    <w:p>
      <w:pPr>
        <w:widowControl w:val="0"/>
        <w:numPr>
          <w:ilvl w:val="0"/>
          <w:numId w:val="0"/>
        </w:numPr>
        <w:spacing w:line="600" w:lineRule="auto"/>
        <w:jc w:val="both"/>
        <w:rPr>
          <w:rFonts w:hint="eastAsia" w:ascii="Times New Roman" w:hAnsi="Times New Roman" w:cs="Times New Roman" w:eastAsiaTheme="majorEastAsia"/>
          <w:b w:val="0"/>
          <w:bCs/>
          <w:color w:val="auto"/>
          <w:sz w:val="28"/>
          <w:szCs w:val="28"/>
          <w:lang w:val="en-US" w:eastAsia="zh-CN"/>
        </w:rPr>
      </w:pPr>
    </w:p>
    <w:p>
      <w:pPr>
        <w:numPr>
          <w:ilvl w:val="0"/>
          <w:numId w:val="3"/>
        </w:numPr>
        <w:spacing w:line="600" w:lineRule="auto"/>
        <w:ind w:left="0" w:leftChars="0" w:firstLine="0" w:firstLineChars="0"/>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排除标准</w:t>
      </w:r>
    </w:p>
    <w:p>
      <w:pPr>
        <w:numPr>
          <w:ilvl w:val="0"/>
          <w:numId w:val="0"/>
        </w:numPr>
        <w:spacing w:line="600" w:lineRule="auto"/>
        <w:ind w:leftChars="0"/>
        <w:jc w:val="both"/>
        <w:rPr>
          <w:rFonts w:hint="default" w:ascii="Times New Roman" w:hAnsi="Times New Roman" w:cs="Times New Roman" w:eastAsiaTheme="majorEastAsia"/>
          <w:b w:val="0"/>
          <w:bCs/>
          <w:color w:val="auto"/>
          <w:sz w:val="28"/>
          <w:szCs w:val="28"/>
          <w:lang w:val="en-US" w:eastAsia="zh-CN"/>
        </w:rPr>
      </w:pPr>
    </w:p>
    <w:p>
      <w:pPr>
        <w:numPr>
          <w:ilvl w:val="0"/>
          <w:numId w:val="0"/>
        </w:numPr>
        <w:spacing w:line="600" w:lineRule="auto"/>
        <w:ind w:leftChars="0"/>
        <w:jc w:val="both"/>
        <w:rPr>
          <w:rFonts w:hint="default" w:ascii="Times New Roman" w:hAnsi="Times New Roman" w:cs="Times New Roman" w:eastAsiaTheme="majorEastAsia"/>
          <w:b w:val="0"/>
          <w:bCs/>
          <w:color w:val="auto"/>
          <w:sz w:val="28"/>
          <w:szCs w:val="28"/>
          <w:lang w:val="en-US" w:eastAsia="zh-CN"/>
        </w:rPr>
      </w:pPr>
    </w:p>
    <w:p>
      <w:pPr>
        <w:numPr>
          <w:ilvl w:val="0"/>
          <w:numId w:val="3"/>
        </w:numPr>
        <w:spacing w:line="600" w:lineRule="auto"/>
        <w:ind w:left="0" w:leftChars="0" w:firstLine="0" w:firstLineChars="0"/>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剔除标准</w:t>
      </w:r>
    </w:p>
    <w:p>
      <w:pPr>
        <w:numPr>
          <w:ilvl w:val="0"/>
          <w:numId w:val="0"/>
        </w:numPr>
        <w:spacing w:line="600" w:lineRule="auto"/>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从治疗或评价的角度考虑，并说明理由。</w:t>
      </w:r>
    </w:p>
    <w:p>
      <w:pPr>
        <w:numPr>
          <w:ilvl w:val="0"/>
          <w:numId w:val="0"/>
        </w:numPr>
        <w:spacing w:line="600" w:lineRule="auto"/>
        <w:jc w:val="both"/>
        <w:rPr>
          <w:rFonts w:hint="eastAsia" w:eastAsiaTheme="majorEastAsia"/>
          <w:b w:val="0"/>
          <w:bCs/>
          <w:color w:val="C00000"/>
          <w:sz w:val="28"/>
          <w:szCs w:val="28"/>
          <w:lang w:val="en-US" w:eastAsia="zh-CN"/>
        </w:rPr>
      </w:pPr>
    </w:p>
    <w:p>
      <w:pPr>
        <w:numPr>
          <w:ilvl w:val="0"/>
          <w:numId w:val="3"/>
        </w:numPr>
        <w:spacing w:line="600" w:lineRule="auto"/>
        <w:ind w:left="0" w:leftChars="0" w:firstLine="0" w:firstLineChars="0"/>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终止研究标准</w:t>
      </w:r>
    </w:p>
    <w:p>
      <w:pPr>
        <w:numPr>
          <w:ilvl w:val="0"/>
          <w:numId w:val="0"/>
        </w:numPr>
        <w:spacing w:line="600" w:lineRule="auto"/>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从受试者安全方面考虑。比如受试者出现了不宜继续进行研究的情况，包括：病情加重、严重不良事件、依从性差等。</w:t>
      </w:r>
    </w:p>
    <w:p>
      <w:pPr>
        <w:numPr>
          <w:ilvl w:val="0"/>
          <w:numId w:val="0"/>
        </w:numPr>
        <w:spacing w:line="600" w:lineRule="auto"/>
        <w:ind w:leftChars="0"/>
        <w:jc w:val="both"/>
        <w:rPr>
          <w:rFonts w:hint="eastAsia"/>
          <w:sz w:val="32"/>
          <w:szCs w:val="32"/>
          <w:lang w:val="en-US" w:eastAsia="zh-CN"/>
        </w:rPr>
      </w:pPr>
    </w:p>
    <w:p>
      <w:pPr>
        <w:numPr>
          <w:ilvl w:val="0"/>
          <w:numId w:val="1"/>
        </w:numPr>
        <w:spacing w:line="600" w:lineRule="auto"/>
        <w:ind w:left="0" w:leftChars="0" w:firstLine="0" w:firstLineChars="0"/>
        <w:jc w:val="both"/>
        <w:rPr>
          <w:rFonts w:hint="eastAsia"/>
          <w:sz w:val="32"/>
          <w:szCs w:val="32"/>
          <w:lang w:val="en-US" w:eastAsia="zh-CN"/>
        </w:rPr>
      </w:pPr>
      <w:r>
        <w:rPr>
          <w:rFonts w:hint="eastAsia"/>
          <w:sz w:val="32"/>
          <w:szCs w:val="32"/>
          <w:lang w:val="en-US" w:eastAsia="zh-CN"/>
        </w:rPr>
        <w:t>研究方法与技术路线</w:t>
      </w:r>
    </w:p>
    <w:p>
      <w:pPr>
        <w:numPr>
          <w:ilvl w:val="0"/>
          <w:numId w:val="0"/>
        </w:numPr>
        <w:spacing w:line="600" w:lineRule="auto"/>
        <w:jc w:val="both"/>
        <w:rPr>
          <w:rFonts w:hint="eastAsia" w:eastAsiaTheme="majorEastAsia"/>
          <w:b w:val="0"/>
          <w:bCs/>
          <w:color w:val="C00000"/>
          <w:sz w:val="28"/>
          <w:szCs w:val="28"/>
          <w:lang w:val="en-US" w:eastAsia="zh-CN"/>
        </w:rPr>
      </w:pPr>
      <w:r>
        <w:rPr>
          <w:rFonts w:hint="eastAsia" w:ascii="Times New Roman" w:hAnsi="Times New Roman" w:cs="Times New Roman" w:eastAsiaTheme="majorEastAsia"/>
          <w:b w:val="0"/>
          <w:bCs/>
          <w:color w:val="auto"/>
          <w:sz w:val="28"/>
          <w:szCs w:val="28"/>
          <w:lang w:val="en-US" w:eastAsia="zh-CN"/>
        </w:rPr>
        <w:t>1.研究用药名称和规格</w:t>
      </w:r>
      <w:r>
        <w:rPr>
          <w:rFonts w:hint="eastAsia" w:eastAsiaTheme="majorEastAsia"/>
          <w:b w:val="0"/>
          <w:bCs/>
          <w:color w:val="C00000"/>
          <w:sz w:val="28"/>
          <w:szCs w:val="28"/>
          <w:lang w:val="en-US" w:eastAsia="zh-CN"/>
        </w:rPr>
        <w:t>（如涉及用药）</w:t>
      </w:r>
    </w:p>
    <w:p>
      <w:pPr>
        <w:numPr>
          <w:ilvl w:val="0"/>
          <w:numId w:val="0"/>
        </w:numPr>
        <w:spacing w:line="600" w:lineRule="auto"/>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说明研究用药的名称、剂型、规格、来源、生产单位、批号、效期及保存条件等。如果对照药是安慰剂，应符合安慰剂制备要求。对照药选择的依据及合理性。</w:t>
      </w:r>
    </w:p>
    <w:p>
      <w:pPr>
        <w:numPr>
          <w:ilvl w:val="0"/>
          <w:numId w:val="0"/>
        </w:numPr>
        <w:spacing w:line="600" w:lineRule="auto"/>
        <w:jc w:val="both"/>
        <w:rPr>
          <w:rFonts w:hint="eastAsia"/>
          <w:sz w:val="32"/>
          <w:szCs w:val="32"/>
          <w:lang w:val="en-US" w:eastAsia="zh-CN"/>
        </w:rPr>
      </w:pPr>
    </w:p>
    <w:p>
      <w:pPr>
        <w:numPr>
          <w:ilvl w:val="0"/>
          <w:numId w:val="0"/>
        </w:numPr>
        <w:spacing w:line="600" w:lineRule="auto"/>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2.治疗方案</w:t>
      </w:r>
    </w:p>
    <w:p>
      <w:pPr>
        <w:numPr>
          <w:ilvl w:val="0"/>
          <w:numId w:val="0"/>
        </w:numPr>
        <w:spacing w:line="600" w:lineRule="auto"/>
        <w:ind w:leftChars="0"/>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如涉及用药，说明药物名称、剂量、给药途径、给药方法、给药次数、疗程。</w:t>
      </w:r>
    </w:p>
    <w:p>
      <w:pPr>
        <w:numPr>
          <w:ilvl w:val="0"/>
          <w:numId w:val="0"/>
        </w:numPr>
        <w:spacing w:line="600" w:lineRule="auto"/>
        <w:ind w:leftChars="0"/>
        <w:jc w:val="both"/>
        <w:rPr>
          <w:rFonts w:hint="eastAsia" w:eastAsiaTheme="majorEastAsia"/>
          <w:b w:val="0"/>
          <w:bCs/>
          <w:color w:val="C00000"/>
          <w:sz w:val="28"/>
          <w:szCs w:val="28"/>
          <w:lang w:val="en-US" w:eastAsia="zh-CN"/>
        </w:rPr>
      </w:pPr>
    </w:p>
    <w:p>
      <w:pPr>
        <w:numPr>
          <w:ilvl w:val="0"/>
          <w:numId w:val="0"/>
        </w:numPr>
        <w:spacing w:line="600" w:lineRule="auto"/>
        <w:jc w:val="both"/>
        <w:rPr>
          <w:rFonts w:hint="eastAsia" w:ascii="Times New Roman" w:hAnsi="Times New Roman" w:cs="Times New Roman" w:eastAsiaTheme="majorEastAsia"/>
          <w:b w:val="0"/>
          <w:bCs/>
          <w:color w:val="auto"/>
          <w:sz w:val="28"/>
          <w:szCs w:val="28"/>
          <w:lang w:val="en-US" w:eastAsia="zh-CN"/>
        </w:rPr>
      </w:pPr>
      <w:r>
        <w:rPr>
          <w:rFonts w:hint="eastAsia" w:ascii="Times New Roman" w:hAnsi="Times New Roman" w:cs="Times New Roman" w:eastAsiaTheme="majorEastAsia"/>
          <w:b w:val="0"/>
          <w:bCs/>
          <w:color w:val="auto"/>
          <w:sz w:val="28"/>
          <w:szCs w:val="28"/>
          <w:lang w:val="en-US" w:eastAsia="zh-CN"/>
        </w:rPr>
        <w:t>3合并用药</w:t>
      </w:r>
    </w:p>
    <w:p>
      <w:pPr>
        <w:numPr>
          <w:ilvl w:val="0"/>
          <w:numId w:val="0"/>
        </w:numPr>
        <w:spacing w:line="600" w:lineRule="auto"/>
        <w:ind w:leftChars="0"/>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说明可以合并使用的药物与不允许合并使用的药物。</w:t>
      </w:r>
    </w:p>
    <w:p>
      <w:pPr>
        <w:numPr>
          <w:ilvl w:val="0"/>
          <w:numId w:val="0"/>
        </w:numPr>
        <w:spacing w:line="600" w:lineRule="auto"/>
        <w:ind w:leftChars="0"/>
        <w:jc w:val="both"/>
        <w:rPr>
          <w:rFonts w:hint="eastAsia" w:eastAsiaTheme="majorEastAsia"/>
          <w:b w:val="0"/>
          <w:bCs/>
          <w:color w:val="C00000"/>
          <w:sz w:val="28"/>
          <w:szCs w:val="28"/>
          <w:lang w:val="en-US" w:eastAsia="zh-CN"/>
        </w:rPr>
      </w:pPr>
    </w:p>
    <w:p>
      <w:pPr>
        <w:numPr>
          <w:ilvl w:val="0"/>
          <w:numId w:val="0"/>
        </w:numPr>
        <w:spacing w:line="600" w:lineRule="auto"/>
        <w:ind w:leftChars="0"/>
        <w:jc w:val="both"/>
        <w:rPr>
          <w:rFonts w:hint="eastAsia"/>
          <w:sz w:val="32"/>
          <w:szCs w:val="32"/>
          <w:lang w:val="en-US" w:eastAsia="zh-CN"/>
        </w:rPr>
      </w:pPr>
      <w:r>
        <w:rPr>
          <w:rFonts w:hint="eastAsia"/>
          <w:sz w:val="32"/>
          <w:szCs w:val="32"/>
          <w:lang w:val="en-US" w:eastAsia="zh-CN"/>
        </w:rPr>
        <w:t>六、观察项目与检测时点</w:t>
      </w:r>
    </w:p>
    <w:p>
      <w:pPr>
        <w:numPr>
          <w:ilvl w:val="0"/>
          <w:numId w:val="0"/>
        </w:numPr>
        <w:spacing w:line="600" w:lineRule="auto"/>
        <w:ind w:leftChars="0"/>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围绕研究主要疗效指标和次药疗效指标涉及临床观察和实验室检查项目，还需要考虑安全性评估指标的观察，并说明检测时点。</w:t>
      </w:r>
    </w:p>
    <w:p>
      <w:pPr>
        <w:numPr>
          <w:ilvl w:val="0"/>
          <w:numId w:val="0"/>
        </w:numPr>
        <w:spacing w:line="600" w:lineRule="auto"/>
        <w:ind w:leftChars="0"/>
        <w:jc w:val="both"/>
        <w:rPr>
          <w:rFonts w:hint="eastAsia" w:eastAsiaTheme="majorEastAsia"/>
          <w:b w:val="0"/>
          <w:bCs/>
          <w:color w:val="C00000"/>
          <w:sz w:val="28"/>
          <w:szCs w:val="28"/>
          <w:lang w:val="en-US" w:eastAsia="zh-CN"/>
        </w:rPr>
      </w:pPr>
    </w:p>
    <w:p>
      <w:pPr>
        <w:numPr>
          <w:ilvl w:val="0"/>
          <w:numId w:val="0"/>
        </w:numPr>
        <w:spacing w:line="600" w:lineRule="auto"/>
        <w:ind w:leftChars="0"/>
        <w:jc w:val="both"/>
        <w:rPr>
          <w:rFonts w:hint="eastAsia"/>
          <w:sz w:val="32"/>
          <w:szCs w:val="32"/>
          <w:lang w:val="en-US" w:eastAsia="zh-CN"/>
        </w:rPr>
      </w:pPr>
      <w:r>
        <w:rPr>
          <w:rFonts w:hint="eastAsia"/>
          <w:sz w:val="32"/>
          <w:szCs w:val="32"/>
          <w:lang w:val="en-US" w:eastAsia="zh-CN"/>
        </w:rPr>
        <w:t>七、疗效评定标准</w:t>
      </w:r>
    </w:p>
    <w:p>
      <w:pPr>
        <w:numPr>
          <w:ilvl w:val="0"/>
          <w:numId w:val="0"/>
        </w:numPr>
        <w:spacing w:line="600" w:lineRule="auto"/>
        <w:ind w:leftChars="0"/>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说明疗效评定参数的方法、观察时间、记录与分析。包括有效性评价、安全性评价、综合疗效评价等。</w:t>
      </w:r>
    </w:p>
    <w:p>
      <w:pPr>
        <w:numPr>
          <w:ilvl w:val="0"/>
          <w:numId w:val="0"/>
        </w:numPr>
        <w:spacing w:line="600" w:lineRule="auto"/>
        <w:ind w:leftChars="0"/>
        <w:jc w:val="both"/>
        <w:rPr>
          <w:rFonts w:hint="eastAsia" w:eastAsiaTheme="majorEastAsia"/>
          <w:b w:val="0"/>
          <w:bCs/>
          <w:color w:val="C00000"/>
          <w:sz w:val="28"/>
          <w:szCs w:val="28"/>
          <w:lang w:val="en-US" w:eastAsia="zh-CN"/>
        </w:rPr>
      </w:pPr>
    </w:p>
    <w:p>
      <w:pPr>
        <w:numPr>
          <w:ilvl w:val="0"/>
          <w:numId w:val="0"/>
        </w:numPr>
        <w:spacing w:line="600" w:lineRule="auto"/>
        <w:ind w:leftChars="0"/>
        <w:jc w:val="both"/>
        <w:rPr>
          <w:rFonts w:hint="eastAsia"/>
          <w:sz w:val="32"/>
          <w:szCs w:val="32"/>
          <w:lang w:val="en-US" w:eastAsia="zh-CN"/>
        </w:rPr>
      </w:pPr>
      <w:r>
        <w:rPr>
          <w:rFonts w:hint="eastAsia"/>
          <w:sz w:val="32"/>
          <w:szCs w:val="32"/>
          <w:lang w:val="en-US" w:eastAsia="zh-CN"/>
        </w:rPr>
        <w:t>八、不良事件的观察</w:t>
      </w:r>
    </w:p>
    <w:p>
      <w:pPr>
        <w:numPr>
          <w:ilvl w:val="0"/>
          <w:numId w:val="0"/>
        </w:numPr>
        <w:spacing w:line="600" w:lineRule="auto"/>
        <w:ind w:leftChars="0"/>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说明不良事件的定义、研究预期不良事件、不良事件与药物因果关系判断、不良事件的记录、处理与报告。严重不良事件的报告方法、处理措施、随访的方式、时间。</w:t>
      </w:r>
    </w:p>
    <w:p>
      <w:pPr>
        <w:numPr>
          <w:ilvl w:val="0"/>
          <w:numId w:val="0"/>
        </w:numPr>
        <w:spacing w:line="600" w:lineRule="auto"/>
        <w:ind w:leftChars="0"/>
        <w:jc w:val="both"/>
        <w:rPr>
          <w:rFonts w:hint="eastAsia" w:eastAsiaTheme="majorEastAsia"/>
          <w:b w:val="0"/>
          <w:bCs/>
          <w:color w:val="C00000"/>
          <w:sz w:val="28"/>
          <w:szCs w:val="28"/>
          <w:lang w:val="en-US" w:eastAsia="zh-CN"/>
        </w:rPr>
      </w:pPr>
    </w:p>
    <w:p>
      <w:pPr>
        <w:numPr>
          <w:ilvl w:val="0"/>
          <w:numId w:val="0"/>
        </w:numPr>
        <w:spacing w:line="600" w:lineRule="auto"/>
        <w:ind w:leftChars="0"/>
        <w:jc w:val="both"/>
        <w:rPr>
          <w:rFonts w:hint="eastAsia" w:eastAsiaTheme="majorEastAsia"/>
          <w:b w:val="0"/>
          <w:bCs/>
          <w:color w:val="C00000"/>
          <w:sz w:val="28"/>
          <w:szCs w:val="28"/>
          <w:lang w:val="en-US" w:eastAsia="zh-CN"/>
        </w:rPr>
      </w:pPr>
      <w:r>
        <w:rPr>
          <w:rFonts w:hint="eastAsia"/>
          <w:sz w:val="32"/>
          <w:szCs w:val="32"/>
          <w:lang w:val="en-US" w:eastAsia="zh-CN"/>
        </w:rPr>
        <w:t>九、研究的质量控制与质量保证</w:t>
      </w:r>
      <w:r>
        <w:rPr>
          <w:rFonts w:hint="eastAsia" w:eastAsiaTheme="majorEastAsia"/>
          <w:b w:val="0"/>
          <w:bCs/>
          <w:color w:val="C00000"/>
          <w:sz w:val="28"/>
          <w:szCs w:val="28"/>
          <w:lang w:val="en-US" w:eastAsia="zh-CN"/>
        </w:rPr>
        <w:t>（根据项目的具体情况确定是否需要此部分内容）</w:t>
      </w:r>
    </w:p>
    <w:p>
      <w:pPr>
        <w:numPr>
          <w:ilvl w:val="0"/>
          <w:numId w:val="0"/>
        </w:numPr>
        <w:spacing w:line="600" w:lineRule="auto"/>
        <w:ind w:leftChars="0"/>
        <w:jc w:val="both"/>
        <w:rPr>
          <w:rFonts w:hint="eastAsia" w:eastAsiaTheme="majorEastAsia"/>
          <w:b w:val="0"/>
          <w:bCs/>
          <w:color w:val="C00000"/>
          <w:sz w:val="28"/>
          <w:szCs w:val="28"/>
          <w:lang w:val="en-US" w:eastAsia="zh-CN"/>
        </w:rPr>
      </w:pPr>
      <w:r>
        <w:rPr>
          <w:rFonts w:hint="eastAsia" w:eastAsiaTheme="majorEastAsia"/>
          <w:b w:val="0"/>
          <w:bCs/>
          <w:color w:val="C00000"/>
          <w:sz w:val="28"/>
          <w:szCs w:val="28"/>
          <w:lang w:val="en-US" w:eastAsia="zh-CN"/>
        </w:rPr>
        <w:t>从实验室指标检测、执行相关SOP、研究者培训、受试者依从性、研究的监查等方面阐述研究的质量控制与监督。</w:t>
      </w:r>
    </w:p>
    <w:p>
      <w:pPr>
        <w:numPr>
          <w:ilvl w:val="0"/>
          <w:numId w:val="0"/>
        </w:numPr>
        <w:spacing w:line="600" w:lineRule="auto"/>
        <w:ind w:leftChars="0"/>
        <w:jc w:val="both"/>
        <w:rPr>
          <w:rFonts w:hint="eastAsia" w:eastAsiaTheme="majorEastAsia"/>
          <w:b w:val="0"/>
          <w:bCs/>
          <w:color w:val="C00000"/>
          <w:sz w:val="28"/>
          <w:szCs w:val="28"/>
          <w:lang w:val="en-US" w:eastAsia="zh-CN"/>
        </w:rPr>
      </w:pPr>
    </w:p>
    <w:p>
      <w:pPr>
        <w:numPr>
          <w:ilvl w:val="0"/>
          <w:numId w:val="0"/>
        </w:numPr>
        <w:spacing w:line="600" w:lineRule="auto"/>
        <w:ind w:leftChars="0"/>
        <w:jc w:val="both"/>
        <w:rPr>
          <w:rFonts w:hint="default"/>
          <w:sz w:val="32"/>
          <w:szCs w:val="32"/>
          <w:lang w:val="en-US" w:eastAsia="zh-CN"/>
        </w:rPr>
      </w:pPr>
      <w:r>
        <w:rPr>
          <w:rFonts w:hint="eastAsia"/>
          <w:sz w:val="32"/>
          <w:szCs w:val="32"/>
          <w:lang w:val="en-US" w:eastAsia="zh-CN"/>
        </w:rPr>
        <w:t>十、</w:t>
      </w:r>
      <w:r>
        <w:rPr>
          <w:rFonts w:hint="default"/>
          <w:sz w:val="32"/>
          <w:szCs w:val="32"/>
          <w:lang w:val="en-US" w:eastAsia="zh-CN"/>
        </w:rPr>
        <w:t>数据安全监察</w:t>
      </w:r>
    </w:p>
    <w:p>
      <w:pPr>
        <w:numPr>
          <w:ilvl w:val="0"/>
          <w:numId w:val="0"/>
        </w:numPr>
        <w:spacing w:line="600" w:lineRule="auto"/>
        <w:ind w:leftChars="0"/>
        <w:jc w:val="both"/>
        <w:rPr>
          <w:rFonts w:hint="default" w:eastAsiaTheme="majorEastAsia"/>
          <w:b w:val="0"/>
          <w:bCs/>
          <w:color w:val="C00000"/>
          <w:sz w:val="28"/>
          <w:szCs w:val="28"/>
          <w:lang w:val="en-US" w:eastAsia="zh-CN"/>
        </w:rPr>
      </w:pPr>
      <w:r>
        <w:rPr>
          <w:rFonts w:hint="default" w:eastAsiaTheme="majorEastAsia"/>
          <w:b w:val="0"/>
          <w:bCs/>
          <w:color w:val="C00000"/>
          <w:sz w:val="28"/>
          <w:szCs w:val="28"/>
          <w:lang w:val="en-US" w:eastAsia="zh-CN"/>
        </w:rPr>
        <w:t>临床研究将根据风险大小制定相应的数据安全监察计划。所有不良事件均详细记录，恰当处理并追踪，直到妥善解决或病情稳定。按照规定及时向伦理委员会，主管部门，申办者和药品监督管理部门报告严重不良事件与非预期事件等。主要研究者定期对所有不良事件进行累积性回顾</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必要时召开研究者会议，评估研究的风险与受益</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双盲试验，必要时可以进行紧急揭盲，以确保受试者安全与权益</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大于最小风险的研究将安排独立的数据监查员对研究数据进行监察</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高风险研究将建立独立的数据安全监察委员会对累积的安全性数据以及有效性数据进行监察</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以做出研究是否继续进行的建议。</w:t>
      </w:r>
    </w:p>
    <w:p>
      <w:pPr>
        <w:numPr>
          <w:ilvl w:val="0"/>
          <w:numId w:val="0"/>
        </w:numPr>
        <w:spacing w:line="600" w:lineRule="auto"/>
        <w:ind w:leftChars="0"/>
        <w:jc w:val="both"/>
        <w:rPr>
          <w:rFonts w:hint="default"/>
          <w:sz w:val="32"/>
          <w:szCs w:val="32"/>
          <w:lang w:val="en-US" w:eastAsia="zh-CN"/>
        </w:rPr>
      </w:pPr>
    </w:p>
    <w:p>
      <w:pPr>
        <w:numPr>
          <w:ilvl w:val="0"/>
          <w:numId w:val="0"/>
        </w:numPr>
        <w:spacing w:line="600" w:lineRule="auto"/>
        <w:ind w:leftChars="0"/>
        <w:jc w:val="both"/>
        <w:rPr>
          <w:rFonts w:hint="default"/>
          <w:sz w:val="32"/>
          <w:szCs w:val="32"/>
          <w:lang w:val="en-US" w:eastAsia="zh-CN"/>
        </w:rPr>
      </w:pPr>
      <w:r>
        <w:rPr>
          <w:rFonts w:hint="eastAsia"/>
          <w:sz w:val="32"/>
          <w:szCs w:val="32"/>
          <w:lang w:val="en-US" w:eastAsia="zh-CN"/>
        </w:rPr>
        <w:t>十一、</w:t>
      </w:r>
      <w:r>
        <w:rPr>
          <w:rFonts w:hint="default"/>
          <w:sz w:val="32"/>
          <w:szCs w:val="32"/>
          <w:lang w:val="en-US" w:eastAsia="zh-CN"/>
        </w:rPr>
        <w:t>统计学处理</w:t>
      </w:r>
    </w:p>
    <w:p>
      <w:pPr>
        <w:numPr>
          <w:ilvl w:val="0"/>
          <w:numId w:val="0"/>
        </w:numPr>
        <w:spacing w:line="600" w:lineRule="auto"/>
        <w:ind w:leftChars="0"/>
        <w:jc w:val="both"/>
        <w:rPr>
          <w:rFonts w:hint="default" w:eastAsiaTheme="majorEastAsia"/>
          <w:b w:val="0"/>
          <w:bCs/>
          <w:color w:val="C00000"/>
          <w:sz w:val="28"/>
          <w:szCs w:val="28"/>
          <w:lang w:val="en-US" w:eastAsia="zh-CN"/>
        </w:rPr>
      </w:pPr>
      <w:r>
        <w:rPr>
          <w:rFonts w:hint="default" w:eastAsiaTheme="majorEastAsia"/>
          <w:b w:val="0"/>
          <w:bCs/>
          <w:color w:val="C00000"/>
          <w:sz w:val="28"/>
          <w:szCs w:val="28"/>
          <w:lang w:val="en-US" w:eastAsia="zh-CN"/>
        </w:rPr>
        <w:t>说明统计软件及版本</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分析数据集</w:t>
      </w:r>
      <w:r>
        <w:rPr>
          <w:rFonts w:hint="eastAsia" w:eastAsiaTheme="majorEastAsia"/>
          <w:b w:val="0"/>
          <w:bCs/>
          <w:color w:val="C00000"/>
          <w:sz w:val="28"/>
          <w:szCs w:val="28"/>
          <w:lang w:val="en-US" w:eastAsia="zh-CN"/>
        </w:rPr>
        <w:t>与</w:t>
      </w:r>
      <w:r>
        <w:rPr>
          <w:rFonts w:hint="default" w:eastAsiaTheme="majorEastAsia"/>
          <w:b w:val="0"/>
          <w:bCs/>
          <w:color w:val="C00000"/>
          <w:sz w:val="28"/>
          <w:szCs w:val="28"/>
          <w:lang w:val="en-US" w:eastAsia="zh-CN"/>
        </w:rPr>
        <w:t>统计分析方法内容。</w:t>
      </w:r>
    </w:p>
    <w:p>
      <w:pPr>
        <w:numPr>
          <w:ilvl w:val="0"/>
          <w:numId w:val="0"/>
        </w:numPr>
        <w:spacing w:line="600" w:lineRule="auto"/>
        <w:ind w:leftChars="0"/>
        <w:jc w:val="both"/>
        <w:rPr>
          <w:rFonts w:hint="default"/>
          <w:sz w:val="32"/>
          <w:szCs w:val="32"/>
          <w:lang w:val="en-US" w:eastAsia="zh-CN"/>
        </w:rPr>
      </w:pPr>
      <w:r>
        <w:rPr>
          <w:rFonts w:hint="eastAsia"/>
          <w:sz w:val="32"/>
          <w:szCs w:val="32"/>
          <w:lang w:val="en-US" w:eastAsia="zh-CN"/>
        </w:rPr>
        <w:t>十二、</w:t>
      </w:r>
      <w:r>
        <w:rPr>
          <w:rFonts w:hint="default"/>
          <w:sz w:val="32"/>
          <w:szCs w:val="32"/>
          <w:lang w:val="en-US" w:eastAsia="zh-CN"/>
        </w:rPr>
        <w:t>临床研究的伦理学</w:t>
      </w:r>
    </w:p>
    <w:p>
      <w:pPr>
        <w:numPr>
          <w:ilvl w:val="0"/>
          <w:numId w:val="0"/>
        </w:numPr>
        <w:spacing w:line="600" w:lineRule="auto"/>
        <w:ind w:leftChars="0"/>
        <w:jc w:val="both"/>
        <w:rPr>
          <w:rFonts w:hint="default" w:eastAsiaTheme="majorEastAsia"/>
          <w:b w:val="0"/>
          <w:bCs/>
          <w:color w:val="C00000"/>
          <w:sz w:val="28"/>
          <w:szCs w:val="28"/>
          <w:lang w:val="en-US" w:eastAsia="zh-CN"/>
        </w:rPr>
      </w:pPr>
      <w:r>
        <w:rPr>
          <w:rFonts w:hint="default" w:eastAsiaTheme="majorEastAsia"/>
          <w:b w:val="0"/>
          <w:bCs/>
          <w:color w:val="C00000"/>
          <w:sz w:val="28"/>
          <w:szCs w:val="28"/>
          <w:lang w:val="en-US" w:eastAsia="zh-CN"/>
        </w:rPr>
        <w:t>临床研究将遵循世界医学大会《赫尔辛基宣言》等相关规定。在研究开始之前，由伦理委员会批准该实验方案后才实施临床研究。每一位受试者入选本研究前，研究者有责任向受试者及其代理人完整</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全面的介绍本研究的目的</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程序和可能的风险，并签署书面知情同意书。应让受试者知道他们有权随时退出本研究</w:t>
      </w:r>
      <w:r>
        <w:rPr>
          <w:rFonts w:hint="eastAsia" w:eastAsiaTheme="majorEastAsia"/>
          <w:b w:val="0"/>
          <w:bCs/>
          <w:color w:val="C00000"/>
          <w:sz w:val="28"/>
          <w:szCs w:val="28"/>
          <w:lang w:val="en-US" w:eastAsia="zh-CN"/>
        </w:rPr>
        <w:t>，</w:t>
      </w:r>
      <w:r>
        <w:rPr>
          <w:rFonts w:hint="default" w:eastAsiaTheme="majorEastAsia"/>
          <w:b w:val="0"/>
          <w:bCs/>
          <w:color w:val="C00000"/>
          <w:sz w:val="28"/>
          <w:szCs w:val="28"/>
          <w:lang w:val="en-US" w:eastAsia="zh-CN"/>
        </w:rPr>
        <w:t>知情同意书应作为临床研究文件保留备查。研究过程中将保护受试者的个人隐私与数据机密性。</w:t>
      </w:r>
    </w:p>
    <w:p>
      <w:pPr>
        <w:numPr>
          <w:ilvl w:val="0"/>
          <w:numId w:val="0"/>
        </w:numPr>
        <w:spacing w:line="600" w:lineRule="auto"/>
        <w:ind w:leftChars="0" w:firstLine="640" w:firstLineChars="200"/>
        <w:jc w:val="both"/>
        <w:rPr>
          <w:rFonts w:hint="default"/>
          <w:sz w:val="32"/>
          <w:szCs w:val="32"/>
          <w:lang w:val="en-US" w:eastAsia="zh-CN"/>
        </w:rPr>
      </w:pPr>
    </w:p>
    <w:p>
      <w:pPr>
        <w:numPr>
          <w:ilvl w:val="0"/>
          <w:numId w:val="4"/>
        </w:numPr>
        <w:spacing w:line="600" w:lineRule="auto"/>
        <w:ind w:leftChars="0"/>
        <w:jc w:val="both"/>
        <w:rPr>
          <w:rFonts w:hint="eastAsia"/>
          <w:sz w:val="32"/>
          <w:szCs w:val="32"/>
          <w:lang w:val="en-US" w:eastAsia="zh-CN"/>
        </w:rPr>
      </w:pPr>
      <w:r>
        <w:rPr>
          <w:rFonts w:hint="eastAsia"/>
          <w:sz w:val="32"/>
          <w:szCs w:val="32"/>
          <w:lang w:val="en-US" w:eastAsia="zh-CN"/>
        </w:rPr>
        <w:t>研究进度</w:t>
      </w:r>
    </w:p>
    <w:p>
      <w:pPr>
        <w:numPr>
          <w:ilvl w:val="0"/>
          <w:numId w:val="0"/>
        </w:numPr>
        <w:spacing w:line="600" w:lineRule="auto"/>
        <w:jc w:val="both"/>
        <w:rPr>
          <w:rFonts w:hint="eastAsia"/>
          <w:sz w:val="32"/>
          <w:szCs w:val="32"/>
          <w:lang w:val="en-US" w:eastAsia="zh-CN"/>
        </w:rPr>
      </w:pPr>
    </w:p>
    <w:p>
      <w:pPr>
        <w:numPr>
          <w:ilvl w:val="0"/>
          <w:numId w:val="4"/>
        </w:numPr>
        <w:spacing w:line="600" w:lineRule="auto"/>
        <w:ind w:left="0" w:leftChars="0" w:firstLine="0" w:firstLineChars="0"/>
        <w:jc w:val="both"/>
        <w:rPr>
          <w:rFonts w:hint="eastAsia"/>
          <w:sz w:val="32"/>
          <w:szCs w:val="32"/>
          <w:lang w:val="en-US" w:eastAsia="zh-CN"/>
        </w:rPr>
      </w:pPr>
      <w:r>
        <w:rPr>
          <w:rFonts w:hint="eastAsia"/>
          <w:sz w:val="32"/>
          <w:szCs w:val="32"/>
          <w:lang w:val="en-US" w:eastAsia="zh-CN"/>
        </w:rPr>
        <w:t>参考文献</w:t>
      </w:r>
    </w:p>
    <w:p>
      <w:pPr>
        <w:widowControl w:val="0"/>
        <w:numPr>
          <w:ilvl w:val="0"/>
          <w:numId w:val="0"/>
        </w:numPr>
        <w:spacing w:line="600" w:lineRule="auto"/>
        <w:jc w:val="both"/>
        <w:rPr>
          <w:rFonts w:hint="default"/>
          <w:sz w:val="32"/>
          <w:szCs w:val="32"/>
          <w:lang w:val="en-US" w:eastAsia="zh-CN"/>
        </w:rPr>
      </w:pPr>
    </w:p>
    <w:p>
      <w:pPr>
        <w:widowControl w:val="0"/>
        <w:numPr>
          <w:ilvl w:val="0"/>
          <w:numId w:val="0"/>
        </w:numPr>
        <w:spacing w:line="600" w:lineRule="auto"/>
        <w:jc w:val="both"/>
        <w:rPr>
          <w:rFonts w:hint="default"/>
          <w:sz w:val="32"/>
          <w:szCs w:val="32"/>
          <w:lang w:val="en-US" w:eastAsia="zh-CN"/>
        </w:rPr>
      </w:pPr>
      <w:r>
        <w:rPr>
          <w:rFonts w:hint="eastAsia"/>
          <w:sz w:val="32"/>
          <w:szCs w:val="32"/>
          <w:lang w:val="en-US" w:eastAsia="zh-CN"/>
        </w:rPr>
        <w:t>十五、技术路线图</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8A5E2"/>
    <w:multiLevelType w:val="singleLevel"/>
    <w:tmpl w:val="B028A5E2"/>
    <w:lvl w:ilvl="0" w:tentative="0">
      <w:start w:val="13"/>
      <w:numFmt w:val="chineseCounting"/>
      <w:suff w:val="nothing"/>
      <w:lvlText w:val="%1、"/>
      <w:lvlJc w:val="left"/>
      <w:rPr>
        <w:rFonts w:hint="eastAsia"/>
      </w:rPr>
    </w:lvl>
  </w:abstractNum>
  <w:abstractNum w:abstractNumId="1">
    <w:nsid w:val="C0190319"/>
    <w:multiLevelType w:val="singleLevel"/>
    <w:tmpl w:val="C0190319"/>
    <w:lvl w:ilvl="0" w:tentative="0">
      <w:start w:val="1"/>
      <w:numFmt w:val="chineseCounting"/>
      <w:suff w:val="nothing"/>
      <w:lvlText w:val="%1、"/>
      <w:lvlJc w:val="left"/>
      <w:rPr>
        <w:rFonts w:hint="eastAsia"/>
      </w:rPr>
    </w:lvl>
  </w:abstractNum>
  <w:abstractNum w:abstractNumId="2">
    <w:nsid w:val="C2414934"/>
    <w:multiLevelType w:val="singleLevel"/>
    <w:tmpl w:val="C2414934"/>
    <w:lvl w:ilvl="0" w:tentative="0">
      <w:start w:val="2"/>
      <w:numFmt w:val="decimal"/>
      <w:lvlText w:val="%1."/>
      <w:lvlJc w:val="left"/>
      <w:pPr>
        <w:tabs>
          <w:tab w:val="left" w:pos="312"/>
        </w:tabs>
      </w:pPr>
    </w:lvl>
  </w:abstractNum>
  <w:abstractNum w:abstractNumId="3">
    <w:nsid w:val="26D2884C"/>
    <w:multiLevelType w:val="singleLevel"/>
    <w:tmpl w:val="26D2884C"/>
    <w:lvl w:ilvl="0" w:tentative="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YmViZGVhNmVlMGZhMDQxNmYxNDgwY2VkYmU5M2IifQ=="/>
  </w:docVars>
  <w:rsids>
    <w:rsidRoot w:val="00000000"/>
    <w:rsid w:val="00A17D23"/>
    <w:rsid w:val="0D1424ED"/>
    <w:rsid w:val="2F7240BF"/>
    <w:rsid w:val="330B4417"/>
    <w:rsid w:val="386323B5"/>
    <w:rsid w:val="437A59F5"/>
    <w:rsid w:val="4736513B"/>
    <w:rsid w:val="47D93597"/>
    <w:rsid w:val="488E39FE"/>
    <w:rsid w:val="57C2766B"/>
    <w:rsid w:val="59F7056E"/>
    <w:rsid w:val="5F370579"/>
    <w:rsid w:val="6971602F"/>
    <w:rsid w:val="69DA7C4D"/>
    <w:rsid w:val="6DCE3300"/>
    <w:rsid w:val="6FAA2A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spacing w:before="120" w:after="120"/>
      <w:outlineLvl w:val="0"/>
    </w:pPr>
    <w:rPr>
      <w:sz w:val="2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列出段落6"/>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1347</Words>
  <Characters>1413</Characters>
  <Lines>0</Lines>
  <Paragraphs>0</Paragraphs>
  <TotalTime>61</TotalTime>
  <ScaleCrop>false</ScaleCrop>
  <LinksUpToDate>false</LinksUpToDate>
  <CharactersWithSpaces>1438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忍冬藤</dc:creator>
  <cp:lastModifiedBy>钟忆萱</cp:lastModifiedBy>
  <dcterms:modified xsi:type="dcterms:W3CDTF">2024-05-07T07:16:59Z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B8A2A898A58543BC851B5EE18C2CD98B</vt:lpwstr>
  </property>
</Properties>
</file>