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咸阳市</w:t>
      </w:r>
      <w:r>
        <w:rPr>
          <w:rFonts w:hint="eastAsia" w:ascii="方正小标宋简体" w:eastAsia="方正小标宋简体"/>
          <w:sz w:val="44"/>
          <w:szCs w:val="44"/>
        </w:rPr>
        <w:t>科学技术协会第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次代表大会</w:t>
      </w:r>
    </w:p>
    <w:p>
      <w:pPr>
        <w:snapToGrid w:val="0"/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代表选举办法</w:t>
      </w:r>
    </w:p>
    <w:p>
      <w:pPr>
        <w:snapToGrid w:val="0"/>
        <w:spacing w:line="594" w:lineRule="exact"/>
        <w:ind w:firstLine="643" w:firstLineChars="200"/>
        <w:rPr>
          <w:rStyle w:val="6"/>
          <w:rFonts w:ascii="仿宋_GB2312" w:eastAsia="仿宋_GB2312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Style w:val="6"/>
          <w:rFonts w:hint="eastAsia" w:ascii="黑体" w:hAnsi="黑体" w:eastAsia="黑体"/>
          <w:b w:val="0"/>
          <w:sz w:val="32"/>
          <w:szCs w:val="32"/>
        </w:rPr>
        <w:t>一、代表名额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科协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大正式代表名额为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245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snapToGrid w:val="0"/>
        <w:spacing w:line="594" w:lineRule="exact"/>
        <w:ind w:firstLine="640" w:firstLineChars="200"/>
        <w:rPr>
          <w:rStyle w:val="6"/>
          <w:rFonts w:ascii="黑体" w:hAnsi="黑体" w:eastAsia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/>
          <w:b w:val="0"/>
          <w:sz w:val="32"/>
          <w:szCs w:val="32"/>
        </w:rPr>
        <w:t>二、代表条件</w:t>
      </w:r>
    </w:p>
    <w:p>
      <w:pPr>
        <w:pStyle w:val="2"/>
        <w:spacing w:line="594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1.热爱祖国，拥护中国共产党领导，坚持走中国特色社会主义道路，具有较强的政治意识、大局意识、核心意识、看齐意识，能认真贯彻执行党的基本路线和方针、政策。</w:t>
      </w:r>
    </w:p>
    <w:p>
      <w:pPr>
        <w:pStyle w:val="2"/>
        <w:spacing w:line="594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.</w:t>
      </w:r>
      <w:r>
        <w:rPr>
          <w:rFonts w:hint="eastAsia" w:ascii="仿宋_GB2312"/>
          <w:szCs w:val="32"/>
        </w:rPr>
        <w:t>在科学研究、技术开发、推广普及或科技管理中，锐意进取，开拓创新，作出显著成绩，在科学技术专业领域或创新驱动发展中有一定影响，能反映本选举单位的意见，代表科技工作者的意志，具有较强的议事能力。</w:t>
      </w:r>
    </w:p>
    <w:p>
      <w:pPr>
        <w:pStyle w:val="2"/>
        <w:spacing w:line="594" w:lineRule="exact"/>
        <w:ind w:firstLine="640" w:firstLineChars="20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3.在科协和学会工作中，勤奋敬业，廉洁自律，具有良好的学风和科技工作者职业道德，能积极参加科协和学会组织的各项活动。</w:t>
      </w:r>
      <w:r>
        <w:rPr>
          <w:rFonts w:hint="eastAsia" w:ascii="仿宋_GB2312"/>
          <w:szCs w:val="32"/>
          <w:lang w:val="en-US" w:eastAsia="zh-CN"/>
        </w:rPr>
        <w:t xml:space="preserve"> </w:t>
      </w:r>
    </w:p>
    <w:p>
      <w:pPr>
        <w:snapToGrid w:val="0"/>
        <w:spacing w:line="594" w:lineRule="exact"/>
        <w:ind w:firstLine="640" w:firstLineChars="200"/>
        <w:rPr>
          <w:rStyle w:val="6"/>
          <w:rFonts w:ascii="黑体" w:hAnsi="黑体" w:eastAsia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/>
          <w:b w:val="0"/>
          <w:sz w:val="32"/>
          <w:szCs w:val="32"/>
        </w:rPr>
        <w:t>三、代表名额分配原则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Style w:val="6"/>
          <w:rFonts w:hint="eastAsia" w:ascii="仿宋_GB2312" w:eastAsia="仿宋_GB2312"/>
          <w:b w:val="0"/>
          <w:sz w:val="32"/>
          <w:szCs w:val="32"/>
        </w:rPr>
        <w:t>1.代表名额的分配，要适应</w:t>
      </w:r>
      <w:r>
        <w:rPr>
          <w:rFonts w:hint="eastAsia" w:ascii="仿宋_GB2312" w:eastAsia="仿宋_GB2312"/>
          <w:sz w:val="32"/>
          <w:szCs w:val="32"/>
        </w:rPr>
        <w:t>新时代新征程对科技创新和科协组织的新要求，</w:t>
      </w:r>
      <w:r>
        <w:rPr>
          <w:rStyle w:val="6"/>
          <w:rFonts w:hint="eastAsia" w:ascii="仿宋_GB2312" w:eastAsia="仿宋_GB2312"/>
          <w:b w:val="0"/>
          <w:sz w:val="32"/>
          <w:szCs w:val="32"/>
        </w:rPr>
        <w:t>充分体现广泛性、先进性和代表性，</w:t>
      </w:r>
      <w:r>
        <w:rPr>
          <w:rFonts w:hint="eastAsia" w:ascii="仿宋_GB2312" w:eastAsia="仿宋_GB2312"/>
          <w:sz w:val="32"/>
          <w:szCs w:val="32"/>
        </w:rPr>
        <w:t>同时兼顾改革任务落实和科协工作需要，注重增加基层和生产科研一线代表，注重吸收新经济组织、新社会组织、新型研发机构和战略性新兴产业的代表人物。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级学会分配代表名额，以学科代表性和会员状况为主要依据，统筹兼顾各学科领域和科技社团中的知名专家、学科带头人和科技人员的数量，学科发展趋势和学会活动开展情况，</w:t>
      </w:r>
      <w:r>
        <w:rPr>
          <w:rFonts w:hint="eastAsia" w:ascii="仿宋_GB2312" w:eastAsia="仿宋_GB2312"/>
          <w:bCs/>
          <w:sz w:val="32"/>
          <w:szCs w:val="32"/>
        </w:rPr>
        <w:t>服务创新驱动发展战略、承接政府转移职能</w:t>
      </w:r>
      <w:r>
        <w:rPr>
          <w:rFonts w:hint="eastAsia" w:ascii="仿宋_GB2312" w:eastAsia="仿宋_GB2312"/>
          <w:sz w:val="32"/>
          <w:szCs w:val="32"/>
        </w:rPr>
        <w:t>以及在国内外、省内外的影响。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pacing w:val="-4"/>
          <w:sz w:val="32"/>
          <w:szCs w:val="32"/>
        </w:rPr>
        <w:t>市区科协分配代表名额，根据辖区人口和科技人员数量，科协各级组织的设置情况、活动开展情况</w:t>
      </w:r>
      <w:r>
        <w:rPr>
          <w:rFonts w:hint="eastAsia" w:ascii="仿宋_GB2312" w:eastAsia="仿宋_GB2312"/>
          <w:bCs/>
          <w:spacing w:val="-4"/>
          <w:sz w:val="32"/>
          <w:szCs w:val="32"/>
        </w:rPr>
        <w:t>以及社会影响合理安排。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4.企事业单位科协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含高等院校、科研院所、医院、院士专家工作站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分配代表名额，以单位科技人员的分布状况、学科带头人数量为主要依据，统筹考虑会员状况、组织设置状况、活动开展状况统筹安排。</w:t>
      </w:r>
    </w:p>
    <w:p>
      <w:pPr>
        <w:pStyle w:val="3"/>
        <w:snapToGrid w:val="0"/>
        <w:spacing w:after="0" w:line="594" w:lineRule="exact"/>
        <w:ind w:left="0" w:leftChars="0" w:firstLine="640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pacing w:val="-4"/>
          <w:sz w:val="32"/>
          <w:szCs w:val="32"/>
        </w:rPr>
        <w:t>科协及其他方面的代表，根据工作需要分配代表名额。</w:t>
      </w:r>
    </w:p>
    <w:p>
      <w:pPr>
        <w:snapToGrid w:val="0"/>
        <w:spacing w:line="594" w:lineRule="exact"/>
        <w:ind w:firstLine="640" w:firstLineChars="200"/>
        <w:rPr>
          <w:rStyle w:val="6"/>
          <w:rFonts w:ascii="黑体" w:hAnsi="黑体" w:eastAsia="黑体"/>
          <w:b w:val="0"/>
          <w:sz w:val="32"/>
          <w:szCs w:val="32"/>
        </w:rPr>
      </w:pPr>
      <w:r>
        <w:rPr>
          <w:rStyle w:val="6"/>
          <w:rFonts w:hint="eastAsia" w:ascii="黑体" w:hAnsi="黑体" w:eastAsia="黑体"/>
          <w:b w:val="0"/>
          <w:sz w:val="32"/>
          <w:szCs w:val="32"/>
        </w:rPr>
        <w:t>四、代表的构成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表的专业、职业、年龄、性别、民族、党派等结构要合理。既要有自然科学各学科领域的代表，又要有新兴学科、交叉学科领域的代表；既要有从事科学研究、技术开发工作的代表，又要有从事科学技术普及推广和科技管理工作的代表。尤其要注意推选从事战略性新兴产业、高新技术产业、农业工作以及在艰苦条件下工作的代表。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正式代表的年龄一般不超过</w:t>
      </w:r>
      <w:r>
        <w:rPr>
          <w:rFonts w:hint="eastAsia" w:ascii="仿宋_GB2312" w:eastAsia="仿宋_GB2312"/>
          <w:sz w:val="32"/>
          <w:szCs w:val="32"/>
          <w:u w:val="none"/>
        </w:rPr>
        <w:t>5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u w:val="none"/>
        </w:rPr>
        <w:t>周岁</w:t>
      </w:r>
      <w:r>
        <w:rPr>
          <w:rFonts w:hint="eastAsia" w:ascii="仿宋_GB2312" w:eastAsia="仿宋_GB2312"/>
          <w:sz w:val="32"/>
          <w:szCs w:val="32"/>
        </w:rPr>
        <w:t>（即196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月31日以后出生；以下年龄据此类推）；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级学会理事长作为代表，年龄不超过</w:t>
      </w:r>
      <w:r>
        <w:rPr>
          <w:rFonts w:hint="eastAsia" w:ascii="仿宋_GB2312" w:eastAsia="仿宋_GB2312"/>
          <w:sz w:val="32"/>
          <w:szCs w:val="32"/>
          <w:u w:val="none"/>
        </w:rPr>
        <w:t>6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none"/>
        </w:rPr>
        <w:t>周岁。</w:t>
      </w:r>
      <w:r>
        <w:rPr>
          <w:rFonts w:hint="eastAsia" w:ascii="仿宋_GB2312" w:eastAsia="仿宋_GB2312"/>
          <w:spacing w:val="-4"/>
          <w:sz w:val="32"/>
          <w:szCs w:val="32"/>
        </w:rPr>
        <w:t>按照《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咸阳市</w:t>
      </w:r>
      <w:r>
        <w:rPr>
          <w:rFonts w:hint="eastAsia" w:ascii="仿宋_GB2312" w:eastAsia="仿宋_GB2312"/>
          <w:spacing w:val="-4"/>
          <w:sz w:val="32"/>
          <w:szCs w:val="32"/>
        </w:rPr>
        <w:t>科协系统深化改革实施方案》要求，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来自企业、高等学校、科研院所、农村等基层一线科技工作者的比例要达到65%左右，45岁以下青年科技工作者不少于三分之一，同时注重吸收新经济组织、新型研发机构的科技工作者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女性代表应不低于代表总数的10%，少数民族代表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民主党派和无党派代表应不低于代表总数的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在国有企业和非公有制企业中工作的代表应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占有一定比例</w:t>
      </w:r>
      <w:r>
        <w:rPr>
          <w:rFonts w:hint="eastAsia" w:ascii="仿宋_GB2312" w:eastAsia="仿宋_GB2312"/>
          <w:sz w:val="32"/>
          <w:szCs w:val="32"/>
        </w:rPr>
        <w:t>；代表中全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 xml:space="preserve">各级科协专职领导结构比例要合理。 </w:t>
      </w:r>
    </w:p>
    <w:p>
      <w:pPr>
        <w:snapToGrid w:val="0"/>
        <w:spacing w:line="594" w:lineRule="exact"/>
        <w:ind w:firstLine="640" w:firstLineChars="200"/>
        <w:rPr>
          <w:rFonts w:ascii="黑体" w:eastAsia="黑体"/>
          <w:b/>
          <w:sz w:val="32"/>
          <w:szCs w:val="32"/>
        </w:rPr>
      </w:pPr>
      <w:r>
        <w:rPr>
          <w:rStyle w:val="6"/>
          <w:rFonts w:hint="eastAsia" w:ascii="黑体" w:eastAsia="黑体"/>
          <w:b w:val="0"/>
          <w:sz w:val="32"/>
          <w:szCs w:val="32"/>
        </w:rPr>
        <w:t>五、代表产生办法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科协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大代表分别由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级学会、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市区科协、企事业单位科协、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科协机关、有关单位等民主选举产生。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级学会选举的代表，应根据分配的名额、条件和原则，广泛征求相关方面意见，通过民主选举产生。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市区科协选举的代表，应根据分配的名额、条件和原则，在充分酝酿的基础上，通过民主选举产生。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企事业单位科协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含高等院校、科研院所、医院、院士专家工作站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的代表，应根据分配的名额、条件和原则，广泛征求相关方面意见，通过民主选举产生。</w:t>
      </w:r>
    </w:p>
    <w:p>
      <w:pPr>
        <w:snapToGrid w:val="0"/>
        <w:spacing w:line="594" w:lineRule="exact"/>
        <w:ind w:firstLine="624" w:firstLineChars="200"/>
      </w:pP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pacing w:val="-4"/>
          <w:sz w:val="32"/>
          <w:szCs w:val="32"/>
        </w:rPr>
        <w:t>科协机关、有关单位的代表采取适当的民主方式选举产生。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E0C87"/>
    <w:rsid w:val="02FE7BBF"/>
    <w:rsid w:val="14202E4D"/>
    <w:rsid w:val="235C2E41"/>
    <w:rsid w:val="28B86A0E"/>
    <w:rsid w:val="4E7F062D"/>
    <w:rsid w:val="58491224"/>
    <w:rsid w:val="6ACE0C87"/>
    <w:rsid w:val="72C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character" w:styleId="6">
    <w:name w:val="Strong"/>
    <w:qFormat/>
    <w:uiPriority w:val="0"/>
    <w:rPr>
      <w:b/>
      <w:sz w:val="20"/>
    </w:rPr>
  </w:style>
  <w:style w:type="paragraph" w:customStyle="1" w:styleId="7">
    <w:name w:val="Normal Indent"/>
    <w:basedOn w:val="1"/>
    <w:qFormat/>
    <w:uiPriority w:val="0"/>
    <w:pPr>
      <w:ind w:firstLine="720" w:firstLineChars="200"/>
    </w:pPr>
    <w:rPr>
      <w:rFonts w:eastAsia="楷体_GB231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2024-07-22T02:32:00Z</dcterms:created>
  <dc:creator>日月</dc:creator>
  <cp:lastModifiedBy>日月</cp:lastModifiedBy>
  <dcterms:modified xsi:type="dcterms:W3CDTF">2024-07-24T09:33:02Z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