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80" w:lineRule="auto"/>
        <w:ind w:right="301" w:firstLine="0" w:firstLineChars="0"/>
        <w:rPr>
          <w:rFonts w:hint="eastAsia" w:eastAsia="黑体" w:cs="Times New Roman"/>
          <w:kern w:val="2"/>
          <w:sz w:val="32"/>
          <w:szCs w:val="32"/>
          <w:lang w:eastAsia="zh-CN"/>
        </w:rPr>
      </w:pPr>
      <w:r>
        <w:rPr>
          <w:rFonts w:hint="eastAsia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1</w:t>
      </w:r>
    </w:p>
    <w:p>
      <w:pPr>
        <w:spacing w:line="600" w:lineRule="auto"/>
        <w:jc w:val="both"/>
        <w:rPr>
          <w:rFonts w:hint="eastAsia" w:ascii="宋体" w:hAnsi="宋体" w:eastAsia="宋体" w:cs="Times New Roman"/>
          <w:b/>
          <w:sz w:val="44"/>
          <w:szCs w:val="44"/>
        </w:rPr>
      </w:pPr>
    </w:p>
    <w:p>
      <w:pPr>
        <w:spacing w:line="600" w:lineRule="auto"/>
        <w:jc w:val="center"/>
        <w:rPr>
          <w:rFonts w:hint="eastAsia" w:ascii="宋体" w:hAnsi="宋体" w:eastAsia="宋体" w:cs="Times New Roman"/>
          <w:b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陕西省中药基础与新药研究重点实验室</w:t>
      </w:r>
    </w:p>
    <w:p>
      <w:pPr>
        <w:spacing w:line="600" w:lineRule="auto"/>
        <w:jc w:val="center"/>
        <w:rPr>
          <w:rFonts w:hint="default" w:asciiTheme="majorEastAsia" w:hAnsiTheme="majorEastAsia" w:eastAsiaTheme="majorEastAsia"/>
          <w:b/>
          <w:color w:val="00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开放</w:t>
      </w: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  <w:lang w:val="en-US" w:eastAsia="zh-CN"/>
        </w:rPr>
        <w:t>课题管理细则</w:t>
      </w:r>
    </w:p>
    <w:p>
      <w:pPr>
        <w:spacing w:line="600" w:lineRule="auto"/>
        <w:jc w:val="center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为了推动中药基础研究和技术自主创新，发挥省重点实验室高层次人才培养作用，发现和培养本领域科技人才，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《陕西省重点实验室建设与运行管理办法》（陕科办发〔2018〕249号）和《陕西中医药大学省级重点实验室开放课题管理办法（试行）》（陕中医规范〔2022〕3号）文件精神，陕西省中药基础与新药研究重点实验室（以下简称实验室）设立开放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课题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，资助重点实验室外科技工作者依托本实验室开展研究工作。实验室每两年公布一次《陕西省中药基础与新药研究重点实验室开放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课题申报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指南》（以下简称《指南》），对每次资助的具体研究内容作明确界定。</w:t>
      </w:r>
    </w:p>
    <w:p>
      <w:pPr>
        <w:spacing w:line="600" w:lineRule="auto"/>
        <w:jc w:val="left"/>
        <w:rPr>
          <w:rFonts w:hint="eastAsia" w:ascii="黑体" w:eastAsia="黑体"/>
          <w:color w:val="000000"/>
          <w:sz w:val="30"/>
          <w:szCs w:val="30"/>
          <w:lang w:eastAsia="zh-CN"/>
        </w:rPr>
      </w:pP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黑体" w:eastAsia="黑体"/>
          <w:color w:val="000000"/>
          <w:sz w:val="30"/>
          <w:szCs w:val="30"/>
        </w:rPr>
        <w:t>、资助对象</w:t>
      </w:r>
    </w:p>
    <w:p>
      <w:pPr>
        <w:spacing w:line="600" w:lineRule="auto"/>
        <w:jc w:val="left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具备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博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士学位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或高级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技术职称的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内外科技工作者，均可在《指南》规定的范围内提出资助申请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同时实验室也接收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内外研究人员自带课题和经费，</w:t>
      </w:r>
      <w:r>
        <w:rPr>
          <w:rFonts w:hint="eastAsia" w:ascii="仿宋_GB2312" w:eastAsia="仿宋_GB2312"/>
          <w:color w:val="000000"/>
          <w:sz w:val="28"/>
          <w:szCs w:val="28"/>
        </w:rPr>
        <w:t>利用本实验室设备条件开展科学研究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鼓励校内外科研人员与实验室人员进行合作申请。</w:t>
      </w:r>
    </w:p>
    <w:p>
      <w:pPr>
        <w:spacing w:line="600" w:lineRule="auto"/>
        <w:jc w:val="left"/>
        <w:rPr>
          <w:rFonts w:hint="eastAsia" w:ascii="黑体" w:eastAsia="黑体"/>
          <w:color w:val="000000"/>
          <w:sz w:val="30"/>
          <w:szCs w:val="30"/>
          <w:lang w:val="en-US" w:eastAsia="zh-CN"/>
        </w:rPr>
      </w:pPr>
    </w:p>
    <w:p>
      <w:pPr>
        <w:spacing w:line="600" w:lineRule="auto"/>
        <w:jc w:val="left"/>
        <w:rPr>
          <w:rFonts w:hint="eastAsia" w:ascii="黑体" w:eastAsia="黑体"/>
          <w:color w:val="000000"/>
          <w:sz w:val="30"/>
          <w:szCs w:val="30"/>
          <w:lang w:eastAsia="zh-CN"/>
        </w:rPr>
      </w:pP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黑体" w:eastAsia="黑体"/>
          <w:color w:val="000000"/>
          <w:sz w:val="30"/>
          <w:szCs w:val="30"/>
        </w:rPr>
        <w:t>、开放课题申请</w:t>
      </w:r>
    </w:p>
    <w:p>
      <w:pPr>
        <w:spacing w:line="600" w:lineRule="auto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8"/>
          <w:szCs w:val="28"/>
        </w:rPr>
        <w:t>申请课题须符合《指南》资助范围的研究，且学术思想新颖，具有创新性。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8"/>
          <w:szCs w:val="28"/>
        </w:rPr>
        <w:t>申请课题的研究目标明确，研究内容具体，研究方法和技术路线合理、可行，近期可取得重要进展。申请者与项目组成员具备实施该课题的研究能力和时间保证，经费预算合理。</w:t>
      </w:r>
    </w:p>
    <w:p>
      <w:pPr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申请者一般应具有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级专业技术职称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或具有博士学位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。不具有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级专业技术职称的申请者，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原则上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须由两名具有高级专业职称的同行专家推荐。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4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8"/>
          <w:szCs w:val="28"/>
        </w:rPr>
        <w:t>基金项目的研究年限一般为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28"/>
          <w:szCs w:val="28"/>
        </w:rPr>
        <w:t>年。对于特别优秀的或有潜力的研究人员，经学术委员会批准可追加一年。基金资助强度一般为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万元/项</w:t>
      </w:r>
      <w:r>
        <w:rPr>
          <w:rFonts w:hint="eastAsia" w:ascii="仿宋_GB2312" w:eastAsia="仿宋_GB2312"/>
          <w:color w:val="000000"/>
          <w:sz w:val="28"/>
          <w:szCs w:val="28"/>
        </w:rPr>
        <w:t>，根据具体情况可适当浮动，由学术委员会审议决定。</w:t>
      </w:r>
    </w:p>
    <w:p>
      <w:pPr>
        <w:rPr>
          <w:rFonts w:hint="eastAsia" w:ascii="黑体" w:eastAsia="黑体"/>
          <w:color w:val="000000"/>
          <w:sz w:val="30"/>
          <w:szCs w:val="30"/>
          <w:lang w:eastAsia="zh-CN"/>
        </w:rPr>
      </w:pP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黑体" w:eastAsia="黑体"/>
          <w:color w:val="000000"/>
          <w:sz w:val="30"/>
          <w:szCs w:val="30"/>
        </w:rPr>
        <w:t>、开放课题审批与立项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8"/>
          <w:szCs w:val="28"/>
        </w:rPr>
        <w:t>实验室室务委员会对开放课题进行初审，对于不符合申请条件的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课题</w:t>
      </w:r>
      <w:r>
        <w:rPr>
          <w:rFonts w:hint="eastAsia" w:ascii="仿宋_GB2312" w:eastAsia="仿宋_GB2312"/>
          <w:color w:val="000000"/>
          <w:sz w:val="28"/>
          <w:szCs w:val="28"/>
        </w:rPr>
        <w:t>申请书不予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进行后续评审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8"/>
          <w:szCs w:val="28"/>
        </w:rPr>
        <w:t>实验室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聘请本领域专家</w:t>
      </w:r>
      <w:r>
        <w:rPr>
          <w:rFonts w:hint="eastAsia" w:ascii="仿宋_GB2312" w:eastAsia="仿宋_GB2312"/>
          <w:color w:val="000000"/>
          <w:sz w:val="28"/>
          <w:szCs w:val="28"/>
        </w:rPr>
        <w:t>以会议或书面通讯评议方式对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初审合格申请书</w:t>
      </w:r>
      <w:r>
        <w:rPr>
          <w:rFonts w:hint="eastAsia" w:ascii="仿宋_GB2312" w:eastAsia="仿宋_GB2312"/>
          <w:color w:val="000000"/>
          <w:sz w:val="28"/>
          <w:szCs w:val="28"/>
        </w:rPr>
        <w:t>进行评审，根据择优资助原则，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提出建议</w:t>
      </w:r>
      <w:r>
        <w:rPr>
          <w:rFonts w:hint="eastAsia" w:ascii="仿宋_GB2312" w:eastAsia="仿宋_GB2312"/>
          <w:color w:val="000000"/>
          <w:sz w:val="28"/>
          <w:szCs w:val="28"/>
        </w:rPr>
        <w:t>资助课题及资助额度。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8"/>
          <w:szCs w:val="28"/>
        </w:rPr>
        <w:t>实验室将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建议资助课题及资助额度报</w:t>
      </w:r>
      <w:r>
        <w:rPr>
          <w:rFonts w:hint="eastAsia" w:ascii="仿宋_GB2312" w:eastAsia="仿宋_GB2312"/>
          <w:color w:val="000000"/>
          <w:sz w:val="28"/>
          <w:szCs w:val="28"/>
        </w:rPr>
        <w:t>学术委员会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进行终审，</w:t>
      </w:r>
      <w:r>
        <w:rPr>
          <w:rFonts w:hint="eastAsia" w:ascii="仿宋_GB2312" w:eastAsia="仿宋_GB2312"/>
          <w:color w:val="000000"/>
          <w:sz w:val="28"/>
          <w:szCs w:val="28"/>
        </w:rPr>
        <w:t>确定资助课题及资助金额，上报陕西中医药大学科技处备案和公示。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4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公示无异议后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科技处下达</w:t>
      </w:r>
      <w:r>
        <w:rPr>
          <w:rFonts w:hint="eastAsia" w:ascii="仿宋_GB2312" w:eastAsia="仿宋_GB2312"/>
          <w:color w:val="000000"/>
          <w:sz w:val="28"/>
          <w:szCs w:val="28"/>
        </w:rPr>
        <w:t>立项批准书，通知申请者及其所在单位。</w:t>
      </w:r>
    </w:p>
    <w:p>
      <w:pPr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黑体" w:eastAsia="黑体"/>
          <w:color w:val="000000"/>
          <w:sz w:val="30"/>
          <w:szCs w:val="30"/>
        </w:rPr>
        <w:t>、项目的实施与检查</w:t>
      </w:r>
    </w:p>
    <w:p>
      <w:pPr>
        <w:ind w:firstLine="560" w:firstLineChars="200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1.获得资助的课题，申请人与实验室签订《陕西省中药基础与新药研究重点实验室项目合同书》，必要时附相关合作协议，经双方单位盖章后生效，进入课题执行阶段。</w:t>
      </w:r>
      <w:bookmarkStart w:id="0" w:name="_GoBack"/>
      <w:bookmarkEnd w:id="0"/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28"/>
          <w:szCs w:val="28"/>
        </w:rPr>
        <w:t>实验室指派专门人员对项目进行管理，基金项目的负责人或主要研究人员应按计划来实验室开展研究工作。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28"/>
          <w:szCs w:val="28"/>
        </w:rPr>
        <w:t>研究计划实施中，涉及到预定目标、研究内容、计划实施等的改变、以及提前结题或延长年限等变动，项目负责人须提出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_GB2312" w:eastAsia="仿宋_GB2312"/>
          <w:color w:val="000000"/>
          <w:sz w:val="28"/>
          <w:szCs w:val="28"/>
        </w:rPr>
        <w:t>，经所在单位审查签署意见后，报实验室审批。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color w:val="000000"/>
          <w:sz w:val="28"/>
          <w:szCs w:val="28"/>
        </w:rPr>
        <w:t>一般情况下，项目负责人不得代理或更换，遇有特殊情况，所在单位应安排合适代理人，并报实验室备案。项目负责人工作调动，可依据具体情况选择在原单位或调入单位完成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开放课题</w:t>
      </w:r>
      <w:r>
        <w:rPr>
          <w:rFonts w:hint="eastAsia" w:ascii="仿宋_GB2312" w:eastAsia="仿宋_GB2312"/>
          <w:color w:val="000000"/>
          <w:sz w:val="28"/>
          <w:szCs w:val="28"/>
        </w:rPr>
        <w:t>，但须调入、调离双方及实验室签署意见，并报实验室审批及备案。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color w:val="000000"/>
          <w:sz w:val="28"/>
          <w:szCs w:val="28"/>
        </w:rPr>
        <w:t>实验室每年度对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开放课题</w:t>
      </w:r>
      <w:r>
        <w:rPr>
          <w:rFonts w:hint="eastAsia" w:ascii="仿宋_GB2312" w:eastAsia="仿宋_GB2312"/>
          <w:color w:val="000000"/>
          <w:sz w:val="28"/>
          <w:szCs w:val="28"/>
        </w:rPr>
        <w:t>的执行情况进行检查。项目负责人应于每年度结束时提交《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开放课题</w:t>
      </w:r>
      <w:r>
        <w:rPr>
          <w:rFonts w:hint="eastAsia" w:ascii="仿宋_GB2312" w:eastAsia="仿宋_GB2312"/>
          <w:color w:val="000000"/>
          <w:sz w:val="28"/>
          <w:szCs w:val="28"/>
        </w:rPr>
        <w:t>年度进展报告》。对不报送进展报告、工作无进展、经费使用不当的项目，缓拨下期经费。项目负责人如不能纠正、补报，实验室将中止资助。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仿宋_GB2312" w:eastAsia="仿宋_GB2312"/>
          <w:color w:val="000000"/>
          <w:sz w:val="28"/>
          <w:szCs w:val="28"/>
        </w:rPr>
        <w:t>开放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课题资助经费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原则上不得用于</w:t>
      </w:r>
      <w:r>
        <w:rPr>
          <w:rFonts w:hint="eastAsia" w:ascii="仿宋_GB2312" w:eastAsia="仿宋_GB2312"/>
          <w:color w:val="000000"/>
          <w:sz w:val="28"/>
          <w:szCs w:val="28"/>
        </w:rPr>
        <w:t>购置、加工和研制仪器。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等线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7.开放课题</w:t>
      </w:r>
      <w:r>
        <w:rPr>
          <w:rFonts w:hint="eastAsia" w:ascii="仿宋_GB2312" w:eastAsia="仿宋_GB2312"/>
          <w:color w:val="000000"/>
          <w:sz w:val="28"/>
          <w:szCs w:val="28"/>
        </w:rPr>
        <w:t>完成后，项目负责人填写项目结题报告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及经费使用情况说明（申请人所在计财部门盖章）</w:t>
      </w:r>
      <w:r>
        <w:rPr>
          <w:rFonts w:hint="eastAsia" w:ascii="仿宋_GB2312" w:eastAsia="仿宋_GB2312"/>
          <w:color w:val="000000"/>
          <w:sz w:val="28"/>
          <w:szCs w:val="28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eastAsia="仿宋_GB2312"/>
          <w:color w:val="000000"/>
          <w:sz w:val="28"/>
          <w:szCs w:val="28"/>
        </w:rPr>
        <w:t>个月内向实验室报送《开放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课题研究工作总结</w:t>
      </w:r>
      <w:r>
        <w:rPr>
          <w:rFonts w:hint="eastAsia" w:ascii="仿宋_GB2312" w:eastAsia="仿宋_GB2312"/>
          <w:color w:val="000000"/>
          <w:sz w:val="28"/>
          <w:szCs w:val="28"/>
        </w:rPr>
        <w:t>报告》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《开放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课题技术</w:t>
      </w:r>
      <w:r>
        <w:rPr>
          <w:rFonts w:hint="eastAsia" w:ascii="仿宋_GB2312" w:eastAsia="仿宋_GB2312"/>
          <w:color w:val="000000"/>
          <w:sz w:val="28"/>
          <w:szCs w:val="28"/>
        </w:rPr>
        <w:t>总结报告》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、《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经费使用情况说明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》、</w:t>
      </w:r>
      <w:r>
        <w:rPr>
          <w:rFonts w:hint="eastAsia" w:ascii="仿宋_GB2312" w:eastAsia="仿宋_GB2312"/>
          <w:color w:val="000000"/>
          <w:sz w:val="28"/>
          <w:szCs w:val="28"/>
        </w:rPr>
        <w:t>学术论文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原件、</w:t>
      </w:r>
      <w:r>
        <w:rPr>
          <w:rFonts w:hint="eastAsia" w:ascii="仿宋_GB2312" w:eastAsia="仿宋_GB2312"/>
          <w:color w:val="000000"/>
          <w:sz w:val="28"/>
          <w:szCs w:val="28"/>
        </w:rPr>
        <w:t>复印件及有关的软硬件原始资料。</w:t>
      </w:r>
      <w:r>
        <w:rPr>
          <w:rFonts w:hint="eastAsia" w:ascii="Times New Roman" w:hAnsi="Times New Roman" w:eastAsia="仿宋_GB2312" w:cs="等线"/>
          <w:sz w:val="28"/>
          <w:szCs w:val="28"/>
        </w:rPr>
        <w:t>经实验室学术委员会审核后，报陕西中医药大学科技处备案，完成结题。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向实验室提交的材料包括：</w:t>
      </w:r>
    </w:p>
    <w:p>
      <w:pPr>
        <w:ind w:firstLine="280" w:firstLineChars="1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（1）研究工作总结及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技术总结</w:t>
      </w:r>
      <w:r>
        <w:rPr>
          <w:rFonts w:hint="eastAsia" w:ascii="仿宋_GB2312" w:eastAsia="仿宋_GB2312"/>
          <w:color w:val="000000"/>
          <w:sz w:val="28"/>
          <w:szCs w:val="28"/>
        </w:rPr>
        <w:t>报告；</w:t>
      </w:r>
    </w:p>
    <w:p>
      <w:pPr>
        <w:ind w:firstLine="280" w:firstLineChars="1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（2）发表学术论文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原件、</w:t>
      </w:r>
      <w:r>
        <w:rPr>
          <w:rFonts w:hint="eastAsia" w:ascii="仿宋_GB2312" w:eastAsia="仿宋_GB2312"/>
          <w:color w:val="000000"/>
          <w:sz w:val="28"/>
          <w:szCs w:val="28"/>
        </w:rPr>
        <w:t>复印件，著作；</w:t>
      </w:r>
    </w:p>
    <w:p>
      <w:pPr>
        <w:ind w:firstLine="280" w:firstLineChars="1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（3）专利与获奖成果证书复印件；</w:t>
      </w:r>
    </w:p>
    <w:p>
      <w:pPr>
        <w:ind w:firstLine="280" w:firstLineChars="1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（4）研究工作中的原始技术档案、数据记录、图纸、底片、软件、程序等和其它资料，以及目录清单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。</w:t>
      </w:r>
    </w:p>
    <w:p>
      <w:pPr>
        <w:rPr>
          <w:rFonts w:hint="eastAsia" w:ascii="黑体" w:eastAsia="黑体"/>
          <w:color w:val="000000"/>
          <w:sz w:val="30"/>
          <w:szCs w:val="30"/>
          <w:lang w:eastAsia="zh-CN"/>
        </w:rPr>
      </w:pP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黑体" w:eastAsia="黑体"/>
          <w:color w:val="000000"/>
          <w:sz w:val="30"/>
          <w:szCs w:val="30"/>
        </w:rPr>
        <w:t>、课题成果管理及评价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.开放</w:t>
      </w:r>
      <w:r>
        <w:rPr>
          <w:rFonts w:hint="eastAsia" w:ascii="仿宋_GB2312" w:eastAsia="仿宋_GB2312"/>
          <w:color w:val="000000"/>
          <w:sz w:val="28"/>
          <w:szCs w:val="28"/>
        </w:rPr>
        <w:t>课题所取得的论文、成果和专利，归实验室和研究者所在单位共有，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其成果</w:t>
      </w:r>
      <w:r>
        <w:rPr>
          <w:rFonts w:hint="eastAsia" w:ascii="仿宋_GB2312" w:eastAsia="仿宋_GB2312"/>
          <w:color w:val="000000"/>
          <w:sz w:val="28"/>
          <w:szCs w:val="28"/>
        </w:rPr>
        <w:t>完成单位除署名陕西中医药大学（英文名称：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Shaanxi University of Chinese Medicine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）外，尚需标注：“陕西省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中药基础与新药研究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重点实验室”（英文名称：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Shaanxi Key Laboratory of </w:t>
      </w:r>
      <w:r>
        <w:rPr>
          <w:rFonts w:hint="default" w:ascii="Times New Roman" w:hAnsi="Times New Roman" w:eastAsia="黑体" w:cs="Times New Roman"/>
          <w:sz w:val="24"/>
          <w:szCs w:val="24"/>
        </w:rPr>
        <w:t>New Drugs and Chinese Medicine Foundation Research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）。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.开放</w:t>
      </w:r>
      <w:r>
        <w:rPr>
          <w:rFonts w:hint="eastAsia" w:ascii="仿宋_GB2312" w:eastAsia="仿宋_GB2312"/>
          <w:color w:val="000000"/>
          <w:sz w:val="28"/>
          <w:szCs w:val="28"/>
        </w:rPr>
        <w:t>课题所取得的有关论文、专著、成果等，均应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明确</w:t>
      </w:r>
      <w:r>
        <w:rPr>
          <w:rFonts w:hint="eastAsia" w:ascii="仿宋_GB2312" w:eastAsia="仿宋_GB2312"/>
          <w:color w:val="000000"/>
          <w:sz w:val="28"/>
          <w:szCs w:val="28"/>
        </w:rPr>
        <w:t>标注“陕西省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中药基础与新药研究</w:t>
      </w:r>
      <w:r>
        <w:rPr>
          <w:rFonts w:hint="eastAsia" w:ascii="仿宋_GB2312" w:eastAsia="仿宋_GB2312"/>
          <w:color w:val="000000"/>
          <w:sz w:val="28"/>
          <w:szCs w:val="28"/>
        </w:rPr>
        <w:t>重点实验室开放课题，课题编号：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XXX”（英文名称：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Supported by Shaanxi Key Laboratory of </w:t>
      </w:r>
      <w:r>
        <w:rPr>
          <w:rFonts w:hint="default" w:ascii="Times New Roman" w:hAnsi="Times New Roman" w:eastAsia="黑体" w:cs="Times New Roman"/>
          <w:sz w:val="24"/>
          <w:szCs w:val="24"/>
        </w:rPr>
        <w:t>New Drugs and Chinese Medicine Foundation Research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，No.XXX）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color w:val="000000"/>
          <w:sz w:val="28"/>
          <w:szCs w:val="28"/>
        </w:rPr>
        <w:t>属自带课题和经费者，必须在研究成果及论文中注明“本研究在陕西省中药基础与新药研究重点实验室完成”。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等线"/>
          <w:sz w:val="28"/>
          <w:szCs w:val="28"/>
        </w:rPr>
        <w:t>经开放课题资助产出的数据库、软件、产品等成果，其具体技术指标与知识产权归属在课题合作协议中另行规定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rPr>
          <w:rFonts w:hint="eastAsia" w:ascii="黑体" w:eastAsia="黑体"/>
          <w:color w:val="000000"/>
          <w:sz w:val="30"/>
          <w:szCs w:val="30"/>
          <w:lang w:eastAsia="zh-CN"/>
        </w:rPr>
      </w:pP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黑体" w:eastAsia="黑体"/>
          <w:color w:val="000000"/>
          <w:sz w:val="30"/>
          <w:szCs w:val="30"/>
        </w:rPr>
        <w:t>、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经费</w:t>
      </w:r>
      <w:r>
        <w:rPr>
          <w:rFonts w:hint="eastAsia" w:ascii="黑体" w:eastAsia="黑体"/>
          <w:color w:val="000000"/>
          <w:sz w:val="30"/>
          <w:szCs w:val="30"/>
        </w:rPr>
        <w:t>使用与管理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default" w:ascii="仿宋_GB2312" w:eastAsia="仿宋_GB2312"/>
          <w:color w:val="000000"/>
          <w:sz w:val="28"/>
          <w:szCs w:val="28"/>
        </w:rPr>
        <w:t>项目负责人需严格执行所在单位经费管理的相关规定，对项目经费使用的规范性、安全性和有效性负责，确保经费专款专用，承担相应的监督管理责任。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28"/>
          <w:szCs w:val="28"/>
        </w:rPr>
        <w:t>每项课题经费的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一般</w:t>
      </w:r>
      <w:r>
        <w:rPr>
          <w:rFonts w:hint="eastAsia" w:ascii="仿宋_GB2312" w:eastAsia="仿宋_GB2312"/>
          <w:color w:val="000000"/>
          <w:sz w:val="28"/>
          <w:szCs w:val="28"/>
        </w:rPr>
        <w:t>分两次下拨，首次下拨时间为课题被批准后的一个月内。课题进行一半，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重点实验室</w:t>
      </w:r>
      <w:r>
        <w:rPr>
          <w:rFonts w:hint="eastAsia" w:ascii="仿宋_GB2312" w:eastAsia="仿宋_GB2312"/>
          <w:color w:val="000000"/>
          <w:sz w:val="28"/>
          <w:szCs w:val="28"/>
        </w:rPr>
        <w:t>根据课题研究人员提交的课题进展报告进行评审，决定下次经费划拨的额度。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2.开放课题</w:t>
      </w:r>
      <w:r>
        <w:rPr>
          <w:rFonts w:hint="eastAsia" w:ascii="仿宋_GB2312" w:eastAsia="仿宋_GB2312"/>
          <w:color w:val="000000"/>
          <w:sz w:val="28"/>
          <w:szCs w:val="28"/>
        </w:rPr>
        <w:t>经费专款专用，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本年度剩余经费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可以结转到下一年度使用</w:t>
      </w:r>
      <w:r>
        <w:rPr>
          <w:rFonts w:hint="eastAsia" w:ascii="仿宋_GB2312" w:eastAsia="仿宋_GB2312"/>
          <w:color w:val="000000"/>
          <w:sz w:val="28"/>
          <w:szCs w:val="28"/>
        </w:rPr>
        <w:t>，但不得挪作他用，一经发现，中止资助。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28"/>
          <w:szCs w:val="28"/>
        </w:rPr>
        <w:t>对于进行中期终止的研究项目，实验室将中止资助，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并</w:t>
      </w:r>
      <w:r>
        <w:rPr>
          <w:rFonts w:hint="eastAsia" w:ascii="仿宋_GB2312" w:eastAsia="仿宋_GB2312"/>
          <w:color w:val="000000"/>
          <w:sz w:val="28"/>
          <w:szCs w:val="28"/>
        </w:rPr>
        <w:t>根据情况全部或部分收回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已</w:t>
      </w:r>
      <w:r>
        <w:rPr>
          <w:rFonts w:hint="eastAsia" w:ascii="仿宋_GB2312" w:eastAsia="仿宋_GB2312"/>
          <w:color w:val="000000"/>
          <w:sz w:val="28"/>
          <w:szCs w:val="28"/>
        </w:rPr>
        <w:t>发放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经费</w:t>
      </w:r>
      <w:r>
        <w:rPr>
          <w:rFonts w:hint="eastAsia" w:ascii="仿宋_GB2312" w:eastAsia="仿宋_GB2312"/>
          <w:color w:val="000000"/>
          <w:sz w:val="28"/>
          <w:szCs w:val="28"/>
        </w:rPr>
        <w:t>，用于资助其它项目。</w:t>
      </w:r>
    </w:p>
    <w:p>
      <w:pPr>
        <w:spacing w:line="360" w:lineRule="auto"/>
        <w:ind w:firstLine="640" w:firstLineChars="200"/>
        <w:rPr>
          <w:rFonts w:ascii="黑体" w:hAnsi="黑体" w:eastAsia="黑体" w:cs="等线"/>
          <w:sz w:val="32"/>
          <w:szCs w:val="32"/>
        </w:rPr>
      </w:pPr>
      <w:r>
        <w:rPr>
          <w:rFonts w:hint="eastAsia" w:ascii="黑体" w:hAnsi="黑体" w:eastAsia="黑体" w:cs="等线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等线"/>
          <w:sz w:val="32"/>
          <w:szCs w:val="32"/>
        </w:rPr>
        <w:t>、其他</w:t>
      </w:r>
    </w:p>
    <w:p>
      <w:pPr>
        <w:ind w:firstLine="560" w:firstLineChars="200"/>
        <w:rPr>
          <w:rFonts w:ascii="Times New Roman" w:hAnsi="Times New Roman" w:eastAsia="仿宋_GB2312" w:cs="等线"/>
          <w:sz w:val="28"/>
          <w:szCs w:val="28"/>
        </w:rPr>
      </w:pPr>
      <w:r>
        <w:rPr>
          <w:rFonts w:hint="eastAsia" w:ascii="Times New Roman" w:hAnsi="Times New Roman" w:eastAsia="仿宋_GB2312" w:cs="等线"/>
          <w:sz w:val="28"/>
          <w:szCs w:val="28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等线"/>
          <w:sz w:val="28"/>
          <w:szCs w:val="28"/>
        </w:rPr>
        <w:t>开放课题设立和管理过程中所有材料必须存档。</w:t>
      </w:r>
    </w:p>
    <w:p>
      <w:pPr>
        <w:ind w:firstLine="560" w:firstLineChars="200"/>
        <w:rPr>
          <w:rFonts w:ascii="Times New Roman" w:hAnsi="Times New Roman" w:eastAsia="仿宋_GB2312" w:cs="等线"/>
          <w:sz w:val="28"/>
          <w:szCs w:val="28"/>
        </w:rPr>
      </w:pPr>
      <w:r>
        <w:rPr>
          <w:rFonts w:hint="eastAsia" w:ascii="Times New Roman" w:hAnsi="Times New Roman" w:eastAsia="仿宋_GB2312" w:cs="等线"/>
          <w:sz w:val="28"/>
          <w:szCs w:val="28"/>
          <w:lang w:val="en-US" w:eastAsia="zh-CN"/>
        </w:rPr>
        <w:t>2.</w:t>
      </w:r>
      <w:r>
        <w:rPr>
          <w:rFonts w:ascii="Times New Roman" w:hAnsi="Times New Roman" w:eastAsia="仿宋_GB2312" w:cs="等线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等线"/>
          <w:sz w:val="28"/>
          <w:szCs w:val="28"/>
        </w:rPr>
        <w:t>本细则由</w:t>
      </w:r>
      <w:r>
        <w:rPr>
          <w:rFonts w:hint="eastAsia" w:ascii="Times New Roman" w:hAnsi="Times New Roman" w:eastAsia="仿宋_GB2312" w:cs="等线"/>
          <w:sz w:val="28"/>
          <w:szCs w:val="28"/>
          <w:lang w:val="en-US" w:eastAsia="zh-CN"/>
        </w:rPr>
        <w:t>陕西省中药基础与新药研究</w:t>
      </w:r>
      <w:r>
        <w:rPr>
          <w:rFonts w:hint="eastAsia" w:ascii="Times New Roman" w:hAnsi="Times New Roman" w:eastAsia="仿宋_GB2312" w:cs="等线"/>
          <w:sz w:val="28"/>
          <w:szCs w:val="28"/>
        </w:rPr>
        <w:t>重点实验室负责解释，自公布之日起执行。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ind w:right="140"/>
        <w:jc w:val="right"/>
        <w:rPr>
          <w:rFonts w:hint="eastAsia" w:ascii="黑体" w:hAnsi="Calibri" w:eastAsia="黑体" w:cs="Times New Roman"/>
          <w:color w:val="000000"/>
          <w:sz w:val="28"/>
          <w:szCs w:val="28"/>
        </w:rPr>
      </w:pPr>
      <w:r>
        <w:rPr>
          <w:rFonts w:hint="eastAsia" w:ascii="黑体" w:hAnsi="Calibri" w:eastAsia="黑体" w:cs="Times New Roman"/>
          <w:color w:val="000000"/>
          <w:sz w:val="28"/>
          <w:szCs w:val="28"/>
        </w:rPr>
        <w:t>陕西省中药基础与新药研究重点实验室</w:t>
      </w:r>
    </w:p>
    <w:p>
      <w:pPr>
        <w:ind w:right="140"/>
        <w:jc w:val="center"/>
        <w:rPr>
          <w:rFonts w:hint="eastAsia" w:ascii="黑体" w:eastAsia="黑体"/>
        </w:rPr>
      </w:pPr>
      <w:r>
        <w:rPr>
          <w:rFonts w:hint="eastAsia" w:ascii="黑体" w:hAnsi="Calibri" w:eastAsia="黑体" w:cs="Times New Roman"/>
          <w:color w:val="00000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黑体" w:hAnsi="Calibri" w:eastAsia="黑体" w:cs="Times New Roman"/>
          <w:color w:val="000000"/>
          <w:sz w:val="28"/>
          <w:szCs w:val="28"/>
        </w:rPr>
        <w:t>20</w:t>
      </w:r>
      <w:r>
        <w:rPr>
          <w:rFonts w:hint="eastAsia" w:ascii="黑体" w:hAnsi="Calibri" w:eastAsia="黑体" w:cs="Times New Roman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黑体" w:hAnsi="Calibri" w:eastAsia="黑体" w:cs="Times New Roman"/>
          <w:color w:val="000000"/>
          <w:sz w:val="28"/>
          <w:szCs w:val="28"/>
        </w:rPr>
        <w:t>年</w:t>
      </w:r>
      <w:r>
        <w:rPr>
          <w:rFonts w:hint="eastAsia" w:ascii="黑体" w:hAnsi="Calibri" w:eastAsia="黑体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ascii="黑体" w:hAnsi="Calibri" w:eastAsia="黑体" w:cs="Times New Roman"/>
          <w:color w:val="000000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NzNkYzgwZDBjYTFjNDg3YTYzOGIzNGU3MmJjYTUifQ=="/>
  </w:docVars>
  <w:rsids>
    <w:rsidRoot w:val="0021793C"/>
    <w:rsid w:val="000C3BAD"/>
    <w:rsid w:val="0021793C"/>
    <w:rsid w:val="00795E35"/>
    <w:rsid w:val="0BA75BA7"/>
    <w:rsid w:val="16B86439"/>
    <w:rsid w:val="1A8946A8"/>
    <w:rsid w:val="212E6741"/>
    <w:rsid w:val="278E148B"/>
    <w:rsid w:val="27F649E5"/>
    <w:rsid w:val="325E19B3"/>
    <w:rsid w:val="38420741"/>
    <w:rsid w:val="3AD45E1A"/>
    <w:rsid w:val="3B247C1B"/>
    <w:rsid w:val="43681BF3"/>
    <w:rsid w:val="44071B29"/>
    <w:rsid w:val="4BAA6127"/>
    <w:rsid w:val="5CA45715"/>
    <w:rsid w:val="69285B2C"/>
    <w:rsid w:val="6B426304"/>
    <w:rsid w:val="6F0532E4"/>
    <w:rsid w:val="70F509BA"/>
    <w:rsid w:val="78F057BC"/>
    <w:rsid w:val="7D215EE7"/>
    <w:rsid w:val="7F9E11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307</Words>
  <Characters>1755</Characters>
  <Lines>14</Lines>
  <Paragraphs>4</Paragraphs>
  <TotalTime>16</TotalTime>
  <ScaleCrop>false</ScaleCrop>
  <LinksUpToDate>false</LinksUpToDate>
  <CharactersWithSpaces>2058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2016-03-21T08:04:00Z</dcterms:created>
  <dc:creator>WANGLU</dc:creator>
  <cp:lastModifiedBy>1</cp:lastModifiedBy>
  <dcterms:modified xsi:type="dcterms:W3CDTF">2023-04-13T02:01:06Z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7756CE8D54004B50B22CEB766618C73D_13</vt:lpwstr>
  </property>
</Properties>
</file>