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4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after="156" w:afterLines="50" w:line="594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2023年度高水平专业性学术交流活动项目审查表</w:t>
      </w:r>
      <w:bookmarkEnd w:id="0"/>
    </w:p>
    <w:p>
      <w:pPr>
        <w:pStyle w:val="2"/>
        <w:jc w:val="both"/>
        <w:rPr>
          <w:rFonts w:ascii="方正楷体简体" w:hAnsi="仿宋" w:eastAsia="方正楷体简体" w:cs="宋体"/>
          <w:bCs w:val="0"/>
          <w:color w:val="000000"/>
          <w:kern w:val="0"/>
          <w:sz w:val="24"/>
        </w:rPr>
      </w:pPr>
      <w:r>
        <w:rPr>
          <w:rFonts w:hint="eastAsia" w:ascii="方正楷体简体" w:hAnsi="仿宋" w:eastAsia="方正楷体简体" w:cs="宋体"/>
          <w:color w:val="000000"/>
          <w:kern w:val="0"/>
          <w:sz w:val="24"/>
        </w:rPr>
        <w:t xml:space="preserve">                                                   </w:t>
      </w:r>
      <w:r>
        <w:rPr>
          <w:rFonts w:hint="eastAsia" w:ascii="方正楷体简体" w:hAnsi="仿宋" w:eastAsia="方正楷体简体" w:cs="宋体"/>
          <w:bCs w:val="0"/>
          <w:color w:val="000000"/>
          <w:kern w:val="0"/>
          <w:sz w:val="24"/>
        </w:rPr>
        <w:t>单位：万元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38"/>
        <w:gridCol w:w="1843"/>
        <w:gridCol w:w="2013"/>
        <w:gridCol w:w="6"/>
        <w:gridCol w:w="2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spacing w:line="400" w:lineRule="exact"/>
              <w:ind w:right="-212" w:rightChars="-101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自筹经费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项 目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主 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内 容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（时间、地点、规模、内容、院士专家等）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JmMTZhMGEwZmU3N2JhNGVjZjc3YTc0ZDY1YjQifQ=="/>
  </w:docVars>
  <w:rsids>
    <w:rsidRoot w:val="6E96172B"/>
    <w:rsid w:val="6E9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黑体" w:hAnsi="Times New Roman" w:eastAsia="黑体" w:cs="Times New Roman"/>
      <w:bCs/>
      <w:kern w:val="44"/>
      <w:sz w:val="28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2023-02-07T07:58:00Z</dcterms:created>
  <dc:creator>习惯箛單</dc:creator>
  <cp:lastModifiedBy>习惯箛單</cp:lastModifiedBy>
  <dcterms:modified xsi:type="dcterms:W3CDTF">2023-02-07T07:58:36Z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59677E6B7B1F4124943885CF0C2A656A</vt:lpwstr>
  </property>
</Properties>
</file>