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1AFB" w14:textId="77777777" w:rsidR="00CA4EAB" w:rsidRDefault="00C93583">
      <w:pPr>
        <w:snapToGrid w:val="0"/>
        <w:spacing w:beforeLines="100" w:before="435" w:afterLines="100" w:after="435" w:line="360" w:lineRule="auto"/>
        <w:jc w:val="center"/>
        <w:rPr>
          <w:rFonts w:eastAsiaTheme="minorEastAsia" w:cs="Times New Roman"/>
          <w:b/>
          <w:bCs/>
          <w:szCs w:val="28"/>
        </w:rPr>
      </w:pPr>
      <w:r>
        <w:rPr>
          <w:rFonts w:eastAsiaTheme="minorEastAsia" w:cs="Times New Roman" w:hint="eastAsia"/>
          <w:b/>
          <w:bCs/>
          <w:szCs w:val="28"/>
        </w:rPr>
        <w:t>四川省科学技术奖</w:t>
      </w:r>
      <w:r>
        <w:rPr>
          <w:rFonts w:eastAsiaTheme="minorEastAsia" w:cs="Times New Roman"/>
          <w:b/>
          <w:bCs/>
          <w:szCs w:val="28"/>
        </w:rPr>
        <w:t>公示信息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66"/>
        <w:gridCol w:w="692"/>
        <w:gridCol w:w="577"/>
        <w:gridCol w:w="1654"/>
        <w:gridCol w:w="107"/>
        <w:gridCol w:w="1788"/>
        <w:gridCol w:w="512"/>
        <w:gridCol w:w="4260"/>
      </w:tblGrid>
      <w:tr w:rsidR="00CA4EAB" w14:paraId="28C7D992" w14:textId="77777777">
        <w:tc>
          <w:tcPr>
            <w:tcW w:w="745" w:type="pct"/>
            <w:gridSpan w:val="2"/>
            <w:vAlign w:val="center"/>
          </w:tcPr>
          <w:p w14:paraId="771DEDAA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奖励类别</w:t>
            </w:r>
          </w:p>
        </w:tc>
        <w:tc>
          <w:tcPr>
            <w:tcW w:w="1118" w:type="pct"/>
            <w:gridSpan w:val="3"/>
            <w:vAlign w:val="center"/>
          </w:tcPr>
          <w:p w14:paraId="523394E8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科学技术进步奖</w:t>
            </w:r>
          </w:p>
        </w:tc>
        <w:tc>
          <w:tcPr>
            <w:tcW w:w="855" w:type="pct"/>
            <w:vAlign w:val="center"/>
          </w:tcPr>
          <w:p w14:paraId="1FE475C1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提名等级</w:t>
            </w:r>
          </w:p>
        </w:tc>
        <w:tc>
          <w:tcPr>
            <w:tcW w:w="2281" w:type="pct"/>
            <w:gridSpan w:val="2"/>
            <w:vAlign w:val="center"/>
          </w:tcPr>
          <w:p w14:paraId="1A862F0E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二等奖或三等奖</w:t>
            </w:r>
          </w:p>
        </w:tc>
      </w:tr>
      <w:tr w:rsidR="00CA4EAB" w14:paraId="44940931" w14:textId="77777777">
        <w:tc>
          <w:tcPr>
            <w:tcW w:w="745" w:type="pct"/>
            <w:gridSpan w:val="2"/>
            <w:vAlign w:val="center"/>
          </w:tcPr>
          <w:p w14:paraId="15F27355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4254" w:type="pct"/>
            <w:gridSpan w:val="6"/>
            <w:vAlign w:val="center"/>
          </w:tcPr>
          <w:p w14:paraId="113F4DB0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基于清热解毒功效的连翘防治肝纤维化关键技术建立及应用示范</w:t>
            </w:r>
          </w:p>
        </w:tc>
      </w:tr>
      <w:tr w:rsidR="00CA4EAB" w14:paraId="7C50D119" w14:textId="77777777">
        <w:tc>
          <w:tcPr>
            <w:tcW w:w="745" w:type="pct"/>
            <w:gridSpan w:val="2"/>
            <w:vAlign w:val="center"/>
          </w:tcPr>
          <w:p w14:paraId="7E3175BD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提名单位</w:t>
            </w:r>
          </w:p>
        </w:tc>
        <w:tc>
          <w:tcPr>
            <w:tcW w:w="4254" w:type="pct"/>
            <w:gridSpan w:val="6"/>
            <w:vAlign w:val="center"/>
          </w:tcPr>
          <w:p w14:paraId="4A7EC4CD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CA4EAB" w14:paraId="20F4E218" w14:textId="77777777">
        <w:tc>
          <w:tcPr>
            <w:tcW w:w="5000" w:type="pct"/>
            <w:gridSpan w:val="8"/>
            <w:vAlign w:val="center"/>
          </w:tcPr>
          <w:p w14:paraId="4372AA1D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主要完成人情况</w:t>
            </w:r>
          </w:p>
        </w:tc>
      </w:tr>
      <w:tr w:rsidR="00CA4EAB" w14:paraId="3121EAEA" w14:textId="77777777">
        <w:tc>
          <w:tcPr>
            <w:tcW w:w="414" w:type="pct"/>
            <w:vAlign w:val="center"/>
          </w:tcPr>
          <w:p w14:paraId="6D92781A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排名</w:t>
            </w:r>
          </w:p>
        </w:tc>
        <w:tc>
          <w:tcPr>
            <w:tcW w:w="607" w:type="pct"/>
            <w:gridSpan w:val="2"/>
            <w:vAlign w:val="center"/>
          </w:tcPr>
          <w:p w14:paraId="27165EEE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791" w:type="pct"/>
            <w:vAlign w:val="center"/>
          </w:tcPr>
          <w:p w14:paraId="20449014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技术</w:t>
            </w:r>
          </w:p>
          <w:p w14:paraId="01580AEA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职称</w:t>
            </w:r>
          </w:p>
        </w:tc>
        <w:tc>
          <w:tcPr>
            <w:tcW w:w="1151" w:type="pct"/>
            <w:gridSpan w:val="3"/>
            <w:vAlign w:val="center"/>
          </w:tcPr>
          <w:p w14:paraId="29A7569A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035" w:type="pct"/>
            <w:vAlign w:val="center"/>
          </w:tcPr>
          <w:p w14:paraId="13B21024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完成单位</w:t>
            </w:r>
          </w:p>
        </w:tc>
      </w:tr>
      <w:tr w:rsidR="00CA4EAB" w14:paraId="68DC3B48" w14:textId="77777777">
        <w:tc>
          <w:tcPr>
            <w:tcW w:w="414" w:type="pct"/>
            <w:vAlign w:val="center"/>
          </w:tcPr>
          <w:p w14:paraId="7D3DED2E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607" w:type="pct"/>
            <w:gridSpan w:val="2"/>
            <w:vAlign w:val="center"/>
          </w:tcPr>
          <w:p w14:paraId="4BC101EC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李芸霞</w:t>
            </w:r>
          </w:p>
        </w:tc>
        <w:tc>
          <w:tcPr>
            <w:tcW w:w="791" w:type="pct"/>
            <w:vAlign w:val="center"/>
          </w:tcPr>
          <w:p w14:paraId="467394DF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研究员</w:t>
            </w:r>
          </w:p>
        </w:tc>
        <w:tc>
          <w:tcPr>
            <w:tcW w:w="1151" w:type="pct"/>
            <w:gridSpan w:val="3"/>
            <w:vAlign w:val="center"/>
          </w:tcPr>
          <w:p w14:paraId="5B231C8E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  <w:tc>
          <w:tcPr>
            <w:tcW w:w="2035" w:type="pct"/>
            <w:vAlign w:val="center"/>
          </w:tcPr>
          <w:p w14:paraId="6D0B62DA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CA4EAB" w14:paraId="4FC55A5B" w14:textId="77777777">
        <w:trPr>
          <w:trHeight w:val="250"/>
        </w:trPr>
        <w:tc>
          <w:tcPr>
            <w:tcW w:w="414" w:type="pct"/>
            <w:vAlign w:val="center"/>
          </w:tcPr>
          <w:p w14:paraId="63DB1D2F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607" w:type="pct"/>
            <w:gridSpan w:val="2"/>
            <w:vAlign w:val="center"/>
          </w:tcPr>
          <w:p w14:paraId="67FB80B8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李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燕</w:t>
            </w:r>
          </w:p>
        </w:tc>
        <w:tc>
          <w:tcPr>
            <w:tcW w:w="791" w:type="pct"/>
            <w:vAlign w:val="center"/>
          </w:tcPr>
          <w:p w14:paraId="3685FB38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1151" w:type="pct"/>
            <w:gridSpan w:val="3"/>
            <w:vAlign w:val="center"/>
          </w:tcPr>
          <w:p w14:paraId="4D036E28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  <w:tc>
          <w:tcPr>
            <w:tcW w:w="2035" w:type="pct"/>
            <w:vAlign w:val="center"/>
          </w:tcPr>
          <w:p w14:paraId="17A5D411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CA4EAB" w14:paraId="24668219" w14:textId="77777777">
        <w:tc>
          <w:tcPr>
            <w:tcW w:w="414" w:type="pct"/>
            <w:vAlign w:val="center"/>
          </w:tcPr>
          <w:p w14:paraId="61282827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607" w:type="pct"/>
            <w:gridSpan w:val="2"/>
            <w:vAlign w:val="center"/>
          </w:tcPr>
          <w:p w14:paraId="5C994ADD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刘美辰</w:t>
            </w:r>
          </w:p>
        </w:tc>
        <w:tc>
          <w:tcPr>
            <w:tcW w:w="791" w:type="pct"/>
            <w:vAlign w:val="center"/>
          </w:tcPr>
          <w:p w14:paraId="7FD9F34C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1151" w:type="pct"/>
            <w:gridSpan w:val="3"/>
            <w:vAlign w:val="center"/>
          </w:tcPr>
          <w:p w14:paraId="6757A3D7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  <w:tc>
          <w:tcPr>
            <w:tcW w:w="2035" w:type="pct"/>
            <w:vAlign w:val="center"/>
          </w:tcPr>
          <w:p w14:paraId="28356B6A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CA4EAB" w14:paraId="32FC8FE3" w14:textId="77777777">
        <w:tc>
          <w:tcPr>
            <w:tcW w:w="414" w:type="pct"/>
            <w:vAlign w:val="center"/>
          </w:tcPr>
          <w:p w14:paraId="0B99C297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607" w:type="pct"/>
            <w:gridSpan w:val="2"/>
            <w:vAlign w:val="center"/>
          </w:tcPr>
          <w:p w14:paraId="24CAD59A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王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 xml:space="preserve"> 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斌</w:t>
            </w:r>
            <w:proofErr w:type="gramEnd"/>
          </w:p>
        </w:tc>
        <w:tc>
          <w:tcPr>
            <w:tcW w:w="791" w:type="pct"/>
            <w:vAlign w:val="center"/>
          </w:tcPr>
          <w:p w14:paraId="14713802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1151" w:type="pct"/>
            <w:gridSpan w:val="3"/>
            <w:vAlign w:val="center"/>
          </w:tcPr>
          <w:p w14:paraId="567E6E01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陕西中医药大学</w:t>
            </w:r>
          </w:p>
        </w:tc>
        <w:tc>
          <w:tcPr>
            <w:tcW w:w="2035" w:type="pct"/>
            <w:vAlign w:val="center"/>
          </w:tcPr>
          <w:p w14:paraId="4B4F0EEE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陕西中医药大学</w:t>
            </w:r>
          </w:p>
        </w:tc>
      </w:tr>
      <w:tr w:rsidR="00CA4EAB" w14:paraId="15995460" w14:textId="77777777">
        <w:tc>
          <w:tcPr>
            <w:tcW w:w="414" w:type="pct"/>
            <w:vAlign w:val="center"/>
          </w:tcPr>
          <w:p w14:paraId="1E28BFA0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6</w:t>
            </w:r>
          </w:p>
        </w:tc>
        <w:tc>
          <w:tcPr>
            <w:tcW w:w="607" w:type="pct"/>
            <w:gridSpan w:val="2"/>
            <w:vAlign w:val="center"/>
          </w:tcPr>
          <w:p w14:paraId="1C4C0D88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龚小红</w:t>
            </w:r>
          </w:p>
        </w:tc>
        <w:tc>
          <w:tcPr>
            <w:tcW w:w="791" w:type="pct"/>
            <w:vAlign w:val="center"/>
          </w:tcPr>
          <w:p w14:paraId="2CAFDAEC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1151" w:type="pct"/>
            <w:gridSpan w:val="3"/>
            <w:vAlign w:val="center"/>
          </w:tcPr>
          <w:p w14:paraId="716E5245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  <w:tc>
          <w:tcPr>
            <w:tcW w:w="2035" w:type="pct"/>
            <w:vAlign w:val="center"/>
          </w:tcPr>
          <w:p w14:paraId="3057064C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CA4EAB" w14:paraId="50E3C70D" w14:textId="77777777">
        <w:trPr>
          <w:trHeight w:val="521"/>
        </w:trPr>
        <w:tc>
          <w:tcPr>
            <w:tcW w:w="414" w:type="pct"/>
            <w:vAlign w:val="center"/>
          </w:tcPr>
          <w:p w14:paraId="36469448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7</w:t>
            </w:r>
          </w:p>
        </w:tc>
        <w:tc>
          <w:tcPr>
            <w:tcW w:w="607" w:type="pct"/>
            <w:gridSpan w:val="2"/>
            <w:vAlign w:val="center"/>
          </w:tcPr>
          <w:p w14:paraId="4CB36AD8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proofErr w:type="gramStart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张若琪</w:t>
            </w:r>
            <w:proofErr w:type="gramEnd"/>
          </w:p>
        </w:tc>
        <w:tc>
          <w:tcPr>
            <w:tcW w:w="791" w:type="pct"/>
            <w:vAlign w:val="center"/>
          </w:tcPr>
          <w:p w14:paraId="1A16AE66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副研究员</w:t>
            </w:r>
          </w:p>
        </w:tc>
        <w:tc>
          <w:tcPr>
            <w:tcW w:w="1151" w:type="pct"/>
            <w:gridSpan w:val="3"/>
            <w:vAlign w:val="center"/>
          </w:tcPr>
          <w:p w14:paraId="732D2EEE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  <w:tc>
          <w:tcPr>
            <w:tcW w:w="2035" w:type="pct"/>
            <w:vAlign w:val="center"/>
          </w:tcPr>
          <w:p w14:paraId="276E634A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CA4EAB" w14:paraId="6E20CCF8" w14:textId="77777777">
        <w:trPr>
          <w:trHeight w:val="205"/>
        </w:trPr>
        <w:tc>
          <w:tcPr>
            <w:tcW w:w="414" w:type="pct"/>
            <w:vAlign w:val="center"/>
          </w:tcPr>
          <w:p w14:paraId="4D582E44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8</w:t>
            </w:r>
          </w:p>
        </w:tc>
        <w:tc>
          <w:tcPr>
            <w:tcW w:w="607" w:type="pct"/>
            <w:gridSpan w:val="2"/>
            <w:vAlign w:val="center"/>
          </w:tcPr>
          <w:p w14:paraId="4AF3B9CC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谢晓芳</w:t>
            </w:r>
          </w:p>
        </w:tc>
        <w:tc>
          <w:tcPr>
            <w:tcW w:w="791" w:type="pct"/>
            <w:vAlign w:val="center"/>
          </w:tcPr>
          <w:p w14:paraId="032BB1D0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副研究员</w:t>
            </w:r>
          </w:p>
        </w:tc>
        <w:tc>
          <w:tcPr>
            <w:tcW w:w="1151" w:type="pct"/>
            <w:gridSpan w:val="3"/>
            <w:vAlign w:val="center"/>
          </w:tcPr>
          <w:p w14:paraId="3E511EDA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  <w:tc>
          <w:tcPr>
            <w:tcW w:w="2035" w:type="pct"/>
            <w:vAlign w:val="center"/>
          </w:tcPr>
          <w:p w14:paraId="49196411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CA4EAB" w14:paraId="05AB814A" w14:textId="77777777">
        <w:tc>
          <w:tcPr>
            <w:tcW w:w="414" w:type="pct"/>
            <w:vAlign w:val="center"/>
          </w:tcPr>
          <w:p w14:paraId="7B643C67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9</w:t>
            </w:r>
          </w:p>
        </w:tc>
        <w:tc>
          <w:tcPr>
            <w:tcW w:w="607" w:type="pct"/>
            <w:gridSpan w:val="2"/>
            <w:vAlign w:val="center"/>
          </w:tcPr>
          <w:p w14:paraId="4F6E346D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龚莉虹</w:t>
            </w:r>
          </w:p>
        </w:tc>
        <w:tc>
          <w:tcPr>
            <w:tcW w:w="791" w:type="pct"/>
            <w:vAlign w:val="center"/>
          </w:tcPr>
          <w:p w14:paraId="51DE20EC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无</w:t>
            </w:r>
          </w:p>
        </w:tc>
        <w:tc>
          <w:tcPr>
            <w:tcW w:w="1151" w:type="pct"/>
            <w:gridSpan w:val="3"/>
            <w:vAlign w:val="center"/>
          </w:tcPr>
          <w:p w14:paraId="51A1EA14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  <w:tc>
          <w:tcPr>
            <w:tcW w:w="2035" w:type="pct"/>
            <w:vAlign w:val="center"/>
          </w:tcPr>
          <w:p w14:paraId="4B9DF421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CA4EAB" w14:paraId="137417F1" w14:textId="77777777">
        <w:tc>
          <w:tcPr>
            <w:tcW w:w="414" w:type="pct"/>
            <w:vAlign w:val="center"/>
          </w:tcPr>
          <w:p w14:paraId="1F8BAB8F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10</w:t>
            </w:r>
          </w:p>
        </w:tc>
        <w:tc>
          <w:tcPr>
            <w:tcW w:w="607" w:type="pct"/>
            <w:gridSpan w:val="2"/>
            <w:vAlign w:val="center"/>
          </w:tcPr>
          <w:p w14:paraId="4C413EDA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周梦婷</w:t>
            </w:r>
          </w:p>
        </w:tc>
        <w:tc>
          <w:tcPr>
            <w:tcW w:w="791" w:type="pct"/>
            <w:vAlign w:val="center"/>
          </w:tcPr>
          <w:p w14:paraId="7E1509FB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无</w:t>
            </w:r>
          </w:p>
        </w:tc>
        <w:tc>
          <w:tcPr>
            <w:tcW w:w="1151" w:type="pct"/>
            <w:gridSpan w:val="3"/>
            <w:vAlign w:val="center"/>
          </w:tcPr>
          <w:p w14:paraId="082CEBC1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  <w:tc>
          <w:tcPr>
            <w:tcW w:w="2035" w:type="pct"/>
            <w:vAlign w:val="center"/>
          </w:tcPr>
          <w:p w14:paraId="3E5D1179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CA4EAB" w14:paraId="5E781FA5" w14:textId="77777777">
        <w:tc>
          <w:tcPr>
            <w:tcW w:w="5000" w:type="pct"/>
            <w:gridSpan w:val="8"/>
            <w:vAlign w:val="center"/>
          </w:tcPr>
          <w:p w14:paraId="67C728E1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主要完成单位</w:t>
            </w:r>
          </w:p>
        </w:tc>
      </w:tr>
      <w:tr w:rsidR="00CA4EAB" w14:paraId="12A2BBEB" w14:textId="77777777">
        <w:tc>
          <w:tcPr>
            <w:tcW w:w="414" w:type="pct"/>
            <w:vAlign w:val="center"/>
          </w:tcPr>
          <w:p w14:paraId="4162E9F6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排名</w:t>
            </w:r>
          </w:p>
        </w:tc>
        <w:tc>
          <w:tcPr>
            <w:tcW w:w="4585" w:type="pct"/>
            <w:gridSpan w:val="7"/>
            <w:vAlign w:val="center"/>
          </w:tcPr>
          <w:p w14:paraId="0AB66739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单位名称</w:t>
            </w:r>
          </w:p>
        </w:tc>
      </w:tr>
      <w:tr w:rsidR="00CA4EAB" w14:paraId="25CA9436" w14:textId="77777777">
        <w:tc>
          <w:tcPr>
            <w:tcW w:w="414" w:type="pct"/>
            <w:vAlign w:val="center"/>
          </w:tcPr>
          <w:p w14:paraId="080FE16B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4585" w:type="pct"/>
            <w:gridSpan w:val="7"/>
            <w:vAlign w:val="center"/>
          </w:tcPr>
          <w:p w14:paraId="64477E71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CA4EAB" w14:paraId="32DA6473" w14:textId="77777777">
        <w:tc>
          <w:tcPr>
            <w:tcW w:w="414" w:type="pct"/>
            <w:vAlign w:val="center"/>
          </w:tcPr>
          <w:p w14:paraId="67A4A951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4585" w:type="pct"/>
            <w:gridSpan w:val="7"/>
            <w:vAlign w:val="center"/>
          </w:tcPr>
          <w:p w14:paraId="33007021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陕西中医药大学</w:t>
            </w:r>
          </w:p>
        </w:tc>
      </w:tr>
      <w:tr w:rsidR="00CA4EAB" w14:paraId="32263C71" w14:textId="77777777">
        <w:tc>
          <w:tcPr>
            <w:tcW w:w="5000" w:type="pct"/>
            <w:gridSpan w:val="8"/>
            <w:vAlign w:val="center"/>
          </w:tcPr>
          <w:p w14:paraId="7F4C6E09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主要支撑材料目录</w:t>
            </w:r>
          </w:p>
        </w:tc>
      </w:tr>
      <w:tr w:rsidR="00CA4EAB" w14:paraId="144D275B" w14:textId="77777777">
        <w:tc>
          <w:tcPr>
            <w:tcW w:w="414" w:type="pct"/>
            <w:vAlign w:val="center"/>
          </w:tcPr>
          <w:p w14:paraId="7FE9878D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4585" w:type="pct"/>
            <w:gridSpan w:val="7"/>
            <w:vAlign w:val="center"/>
          </w:tcPr>
          <w:p w14:paraId="3D021785" w14:textId="77777777" w:rsidR="00CA4EAB" w:rsidRDefault="00C93583">
            <w:pPr>
              <w:snapToGrid w:val="0"/>
              <w:spacing w:after="0" w:line="240" w:lineRule="auto"/>
              <w:jc w:val="both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知识产权和标准规范类别、名称、国家（地区）、授权号（标准编号）、授权（标准发布）日期、证书编号（标准批准发布部门）、权利人（标准起草单位）、发明人（标准起草人）、有效状态等；论文（专著）名称、刊名（出版社）、作者、年份、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卷期页码</w:t>
            </w:r>
            <w:proofErr w:type="gramEnd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等信息</w:t>
            </w:r>
          </w:p>
        </w:tc>
      </w:tr>
      <w:tr w:rsidR="00CA4EAB" w14:paraId="11CFB6D0" w14:textId="77777777">
        <w:tc>
          <w:tcPr>
            <w:tcW w:w="414" w:type="pct"/>
            <w:vAlign w:val="center"/>
          </w:tcPr>
          <w:p w14:paraId="6EEB7FF5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4585" w:type="pct"/>
            <w:gridSpan w:val="7"/>
          </w:tcPr>
          <w:p w14:paraId="5B98D928" w14:textId="77777777" w:rsidR="00CA4EAB" w:rsidRDefault="00C93583">
            <w:pPr>
              <w:snapToGrid w:val="0"/>
              <w:spacing w:after="0" w:line="240" w:lineRule="auto"/>
              <w:jc w:val="both"/>
              <w:rPr>
                <w:rFonts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专著：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连翘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的系统研究与利用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（四川大学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出版社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）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，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李芸霞、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张若琪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、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 xml:space="preserve"> 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郑立、王斌、罗林、孙晨、胡乃华、彭芙、程亮、樊莉、张若琪、汤韵秋、谢晓芳、余凌媛、龚莉虹。</w:t>
            </w:r>
          </w:p>
        </w:tc>
      </w:tr>
      <w:tr w:rsidR="00CA4EAB" w14:paraId="678A5001" w14:textId="77777777">
        <w:tc>
          <w:tcPr>
            <w:tcW w:w="414" w:type="pct"/>
            <w:vAlign w:val="center"/>
          </w:tcPr>
          <w:p w14:paraId="68A516E3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4585" w:type="pct"/>
            <w:gridSpan w:val="7"/>
          </w:tcPr>
          <w:p w14:paraId="206BEDB1" w14:textId="77777777" w:rsidR="00CA4EAB" w:rsidRDefault="00C93583">
            <w:pPr>
              <w:snapToGrid w:val="0"/>
              <w:spacing w:after="0" w:line="240" w:lineRule="auto"/>
              <w:jc w:val="both"/>
              <w:rPr>
                <w:rFonts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代表性论文：</w:t>
            </w:r>
            <w:proofErr w:type="spellStart"/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Phillygenin</w:t>
            </w:r>
            <w:proofErr w:type="spellEnd"/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 xml:space="preserve"> attenuates carbon 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 xml:space="preserve">tetrachloride-induced liver fibrosis via modulating inflammation and gut microbiota; Frontiers in Pharmacology. 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王成、马程、付珂、龚莉虹、张亚芳、周红林、李芸霞。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2021,12:756924.</w:t>
            </w:r>
          </w:p>
        </w:tc>
      </w:tr>
      <w:tr w:rsidR="00CA4EAB" w14:paraId="0089B9FD" w14:textId="77777777">
        <w:tc>
          <w:tcPr>
            <w:tcW w:w="414" w:type="pct"/>
            <w:vAlign w:val="center"/>
          </w:tcPr>
          <w:p w14:paraId="402C12C0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4585" w:type="pct"/>
            <w:gridSpan w:val="7"/>
          </w:tcPr>
          <w:p w14:paraId="75D8282A" w14:textId="77777777" w:rsidR="00CA4EAB" w:rsidRDefault="00C93583">
            <w:pPr>
              <w:snapToGrid w:val="0"/>
              <w:spacing w:after="0" w:line="240" w:lineRule="auto"/>
              <w:jc w:val="both"/>
              <w:rPr>
                <w:rFonts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代表性论文：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A review of pharmacological and pharmacokinetic properties of Forsythiaside A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 xml:space="preserve">; 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Pharmacological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 xml:space="preserve"> Research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.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龚莉虹、王成、周红林、马程、张亚芳、彭成、李芸霞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.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2021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,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21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: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105690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.</w:t>
            </w:r>
          </w:p>
        </w:tc>
      </w:tr>
      <w:tr w:rsidR="00CA4EAB" w14:paraId="65407D51" w14:textId="77777777">
        <w:trPr>
          <w:trHeight w:val="863"/>
        </w:trPr>
        <w:tc>
          <w:tcPr>
            <w:tcW w:w="414" w:type="pct"/>
            <w:vAlign w:val="center"/>
          </w:tcPr>
          <w:p w14:paraId="3EB0D396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4585" w:type="pct"/>
            <w:gridSpan w:val="7"/>
          </w:tcPr>
          <w:p w14:paraId="20B1EF92" w14:textId="77777777" w:rsidR="00CA4EAB" w:rsidRDefault="00C93583">
            <w:pPr>
              <w:snapToGrid w:val="0"/>
              <w:spacing w:after="0" w:line="240" w:lineRule="auto"/>
              <w:jc w:val="both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代表性论文：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 xml:space="preserve">Revealing anti-inflammation mechanism of water-extract and oil of </w:t>
            </w:r>
            <w:proofErr w:type="spellStart"/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forsythiae</w:t>
            </w:r>
            <w:proofErr w:type="spellEnd"/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 xml:space="preserve"> fructus on carrageenan-Induced edema rats by serum metabolomics. Biomedicine &amp; Pharmacotherapy, 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袁岸、龚莉虹、罗林、党</w:t>
            </w:r>
            <w:proofErr w:type="gramStart"/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珏</w:t>
            </w:r>
            <w:proofErr w:type="gramEnd"/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、龚小红、赵梦杰、李燕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、李芸霞、彭成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. 2017, 95:929-937.</w:t>
            </w:r>
          </w:p>
        </w:tc>
      </w:tr>
      <w:tr w:rsidR="00CA4EAB" w14:paraId="62D98C2E" w14:textId="77777777">
        <w:tc>
          <w:tcPr>
            <w:tcW w:w="414" w:type="pct"/>
            <w:vAlign w:val="center"/>
          </w:tcPr>
          <w:p w14:paraId="76147EFD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4585" w:type="pct"/>
            <w:gridSpan w:val="7"/>
          </w:tcPr>
          <w:p w14:paraId="0B58A5B3" w14:textId="77777777" w:rsidR="00CA4EAB" w:rsidRDefault="00C93583">
            <w:pPr>
              <w:snapToGrid w:val="0"/>
              <w:spacing w:after="0" w:line="240" w:lineRule="auto"/>
              <w:jc w:val="both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代表性论文：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 xml:space="preserve">Forsythiaside A regulates activation of hepatic stellate cells by inhibiting NOX4-dependent ROS. Oxidative Medicine and Cellular Longevity, 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周梦婷、赵兴桃、廖利、邓英、刘美辰、王晶、薛鑫研、李芸霞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. 2022, 2022:9938392.</w:t>
            </w:r>
          </w:p>
        </w:tc>
      </w:tr>
      <w:tr w:rsidR="00CA4EAB" w14:paraId="4362D115" w14:textId="77777777">
        <w:tc>
          <w:tcPr>
            <w:tcW w:w="414" w:type="pct"/>
            <w:vAlign w:val="center"/>
          </w:tcPr>
          <w:p w14:paraId="4EE3BDD7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6</w:t>
            </w:r>
          </w:p>
        </w:tc>
        <w:tc>
          <w:tcPr>
            <w:tcW w:w="4585" w:type="pct"/>
            <w:gridSpan w:val="7"/>
          </w:tcPr>
          <w:p w14:paraId="11F6C7FC" w14:textId="77777777" w:rsidR="00CA4EAB" w:rsidRDefault="00C93583">
            <w:pPr>
              <w:spacing w:line="300" w:lineRule="auto"/>
              <w:rPr>
                <w:rFonts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授权专利：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一种连翘挥发油自微乳及其制备方法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.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李芸霞；曹小玉；彭成；郑立；汤韵秋；余琳媛；</w:t>
            </w:r>
            <w:proofErr w:type="gramStart"/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周忆梦</w:t>
            </w:r>
            <w:proofErr w:type="gramEnd"/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；全云云；刘美辰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.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中国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 xml:space="preserve">, 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专利号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: ZL 201811279086.0.</w:t>
            </w:r>
          </w:p>
        </w:tc>
      </w:tr>
      <w:tr w:rsidR="00CA4EAB" w14:paraId="188CAE7A" w14:textId="77777777">
        <w:tc>
          <w:tcPr>
            <w:tcW w:w="414" w:type="pct"/>
            <w:vAlign w:val="center"/>
          </w:tcPr>
          <w:p w14:paraId="40FBF7DB" w14:textId="77777777" w:rsidR="00CA4EAB" w:rsidRDefault="00CA4EAB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4585" w:type="pct"/>
            <w:gridSpan w:val="7"/>
          </w:tcPr>
          <w:p w14:paraId="1D60759C" w14:textId="77777777" w:rsidR="00CA4EAB" w:rsidRDefault="00CA4EAB">
            <w:pPr>
              <w:snapToGrid w:val="0"/>
              <w:spacing w:after="0" w:line="240" w:lineRule="auto"/>
              <w:jc w:val="both"/>
              <w:rPr>
                <w:rFonts w:eastAsiaTheme="minorEastAsia" w:cs="Times New Roman"/>
                <w:kern w:val="0"/>
                <w:sz w:val="24"/>
                <w:szCs w:val="20"/>
              </w:rPr>
            </w:pPr>
          </w:p>
        </w:tc>
      </w:tr>
      <w:tr w:rsidR="00CA4EAB" w14:paraId="3685B9E1" w14:textId="77777777">
        <w:tc>
          <w:tcPr>
            <w:tcW w:w="414" w:type="pct"/>
            <w:vAlign w:val="center"/>
          </w:tcPr>
          <w:p w14:paraId="680E38C3" w14:textId="77777777" w:rsidR="00CA4EAB" w:rsidRDefault="00CA4EAB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4585" w:type="pct"/>
            <w:gridSpan w:val="7"/>
          </w:tcPr>
          <w:p w14:paraId="04A484C2" w14:textId="77777777" w:rsidR="00CA4EAB" w:rsidRDefault="00CA4EAB">
            <w:pPr>
              <w:snapToGrid w:val="0"/>
              <w:spacing w:after="0" w:line="240" w:lineRule="auto"/>
              <w:jc w:val="both"/>
              <w:rPr>
                <w:rFonts w:eastAsiaTheme="minorEastAsia" w:cs="Times New Roman"/>
                <w:kern w:val="0"/>
                <w:sz w:val="24"/>
                <w:szCs w:val="20"/>
              </w:rPr>
            </w:pPr>
          </w:p>
        </w:tc>
      </w:tr>
      <w:tr w:rsidR="00CA4EAB" w14:paraId="71E2478F" w14:textId="77777777">
        <w:tc>
          <w:tcPr>
            <w:tcW w:w="5000" w:type="pct"/>
            <w:gridSpan w:val="8"/>
            <w:vAlign w:val="center"/>
          </w:tcPr>
          <w:p w14:paraId="4338B771" w14:textId="77777777" w:rsidR="00CA4EAB" w:rsidRDefault="00C93583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lastRenderedPageBreak/>
              <w:t>提名意见</w:t>
            </w:r>
          </w:p>
        </w:tc>
      </w:tr>
      <w:tr w:rsidR="00CA4EAB" w14:paraId="24EE1AD0" w14:textId="77777777">
        <w:trPr>
          <w:trHeight w:val="2979"/>
        </w:trPr>
        <w:tc>
          <w:tcPr>
            <w:tcW w:w="5000" w:type="pct"/>
            <w:gridSpan w:val="8"/>
            <w:vAlign w:val="center"/>
          </w:tcPr>
          <w:p w14:paraId="10E02D2B" w14:textId="77777777" w:rsidR="00CA4EAB" w:rsidRDefault="00C93583">
            <w:pPr>
              <w:snapToGrid w:val="0"/>
              <w:spacing w:after="0" w:line="240" w:lineRule="auto"/>
              <w:ind w:firstLineChars="100" w:firstLine="240"/>
              <w:jc w:val="both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本项目由成都中医药大学和陕西中医药大学联合攻关完成，聚焦全球重大疾病之一肝病热点、痛点和难点，深耕“肝纤维化防治”领域。项目组基于“系统中药”、“多维评价”思想，得益于国家自然科学基金、四川省杰出青年基金等资助，率先从“品、质、制、性、效、用”多维评价连翘。首次，以清热解毒的传统功效为切入点，结合现代药理及疾病，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进行性效整合</w:t>
            </w:r>
            <w:proofErr w:type="gramEnd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分析，发现连翘通过抗炎、抗氧化、抑制星状细胞激活防治肝纤维化的新用途；构建以功效为核心的中药药效物质筛选模式，结合“谱证动力学”，筛选连翘防治肝纤维化的药效物质基础；搭建从分子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-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细胞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-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组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织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-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整体进行体内外整合研究抗肝纤维化药物平台，从多层次、多角度阐明连翘多途径、多靶点防治肝纤维化分子机制；建立基于传统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-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源于临床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-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证于实验</w:t>
            </w:r>
            <w:proofErr w:type="gramEnd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-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回归临床的研发模式，实现从科研到生产、临床的转化，已累计创收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1000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余万，经济和社会效益显著。</w:t>
            </w:r>
          </w:p>
          <w:p w14:paraId="0331739C" w14:textId="77777777" w:rsidR="00CA4EAB" w:rsidRDefault="00C93583">
            <w:pPr>
              <w:snapToGrid w:val="0"/>
              <w:spacing w:after="0" w:line="240" w:lineRule="auto"/>
              <w:ind w:firstLineChars="200" w:firstLine="480"/>
              <w:jc w:val="both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项目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组发表</w:t>
            </w:r>
            <w:proofErr w:type="gramEnd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学术论文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32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篇，其中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SCI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论文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17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篇，中科院一区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7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篇，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IF&gt;7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的论文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2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篇，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IF&gt;5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的论文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4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篇；获得发明专利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1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项。出版专著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1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部。本项目整体技术达到国内外领先水平，为防治肝纤维化药物的研发与应用提供示范，符合四川省科学技术进步奖申报条件。</w:t>
            </w:r>
          </w:p>
          <w:p w14:paraId="1B2CE8DD" w14:textId="77777777" w:rsidR="00CA4EAB" w:rsidRDefault="00C93583">
            <w:pPr>
              <w:snapToGrid w:val="0"/>
              <w:spacing w:after="0" w:line="240" w:lineRule="auto"/>
              <w:ind w:firstLineChars="100" w:firstLine="240"/>
              <w:jc w:val="both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提名该项目为四川省科学技术进步奖。</w:t>
            </w:r>
          </w:p>
        </w:tc>
      </w:tr>
    </w:tbl>
    <w:p w14:paraId="5D8774B4" w14:textId="77777777" w:rsidR="00CA4EAB" w:rsidRDefault="00CA4EAB">
      <w:pPr>
        <w:snapToGrid w:val="0"/>
        <w:spacing w:after="0" w:line="360" w:lineRule="auto"/>
        <w:jc w:val="both"/>
        <w:rPr>
          <w:rFonts w:eastAsiaTheme="minorEastAsia" w:cs="Times New Roman"/>
          <w:sz w:val="28"/>
          <w:szCs w:val="28"/>
        </w:rPr>
      </w:pPr>
    </w:p>
    <w:p w14:paraId="309500BF" w14:textId="77777777" w:rsidR="00CA4EAB" w:rsidRDefault="00CA4EAB">
      <w:pPr>
        <w:snapToGrid w:val="0"/>
        <w:spacing w:after="0" w:line="360" w:lineRule="auto"/>
        <w:jc w:val="both"/>
        <w:rPr>
          <w:rFonts w:eastAsiaTheme="minorEastAsia" w:cs="Times New Roman"/>
          <w:sz w:val="28"/>
          <w:szCs w:val="28"/>
        </w:rPr>
      </w:pPr>
    </w:p>
    <w:p w14:paraId="5F4A73AE" w14:textId="77777777" w:rsidR="00CA4EAB" w:rsidRDefault="00CA4EAB"/>
    <w:sectPr w:rsidR="00CA4EAB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72D8" w14:textId="77777777" w:rsidR="00C93583" w:rsidRDefault="00C93583">
      <w:pPr>
        <w:spacing w:line="240" w:lineRule="auto"/>
      </w:pPr>
      <w:r>
        <w:separator/>
      </w:r>
    </w:p>
  </w:endnote>
  <w:endnote w:type="continuationSeparator" w:id="0">
    <w:p w14:paraId="37657B21" w14:textId="77777777" w:rsidR="00C93583" w:rsidRDefault="00C93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EAFCD" w14:textId="77777777" w:rsidR="00C93583" w:rsidRDefault="00C93583">
      <w:pPr>
        <w:spacing w:after="0" w:line="240" w:lineRule="auto"/>
      </w:pPr>
      <w:r>
        <w:separator/>
      </w:r>
    </w:p>
  </w:footnote>
  <w:footnote w:type="continuationSeparator" w:id="0">
    <w:p w14:paraId="4678EAAC" w14:textId="77777777" w:rsidR="00C93583" w:rsidRDefault="00C93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3MGRjZTdmYjY4YjFmYjcyMzBmMmJkNzUyMGRhNmYifQ=="/>
  </w:docVars>
  <w:rsids>
    <w:rsidRoot w:val="004411E5"/>
    <w:rsid w:val="003B60D0"/>
    <w:rsid w:val="004411E5"/>
    <w:rsid w:val="00596F99"/>
    <w:rsid w:val="006131C7"/>
    <w:rsid w:val="00981EEE"/>
    <w:rsid w:val="00A438F4"/>
    <w:rsid w:val="00AE2D1A"/>
    <w:rsid w:val="00B249B2"/>
    <w:rsid w:val="00C93583"/>
    <w:rsid w:val="00CA4EAB"/>
    <w:rsid w:val="00D24BF3"/>
    <w:rsid w:val="00F61DAA"/>
    <w:rsid w:val="01530460"/>
    <w:rsid w:val="01BA661B"/>
    <w:rsid w:val="057B1E1B"/>
    <w:rsid w:val="0C860BBD"/>
    <w:rsid w:val="0C9F44F5"/>
    <w:rsid w:val="11216050"/>
    <w:rsid w:val="133058D3"/>
    <w:rsid w:val="1E953F88"/>
    <w:rsid w:val="204E6E83"/>
    <w:rsid w:val="238C4DB4"/>
    <w:rsid w:val="28311380"/>
    <w:rsid w:val="28F87C0C"/>
    <w:rsid w:val="2A6C42C0"/>
    <w:rsid w:val="2B596087"/>
    <w:rsid w:val="31237427"/>
    <w:rsid w:val="34CF6AD1"/>
    <w:rsid w:val="3BB80A7A"/>
    <w:rsid w:val="3F1E3658"/>
    <w:rsid w:val="405A1B1A"/>
    <w:rsid w:val="4378723D"/>
    <w:rsid w:val="47A75482"/>
    <w:rsid w:val="4A1E4C4F"/>
    <w:rsid w:val="4D8133EB"/>
    <w:rsid w:val="5290408D"/>
    <w:rsid w:val="53023762"/>
    <w:rsid w:val="57FB0C1F"/>
    <w:rsid w:val="62824EC8"/>
    <w:rsid w:val="67986249"/>
    <w:rsid w:val="6CAE513C"/>
    <w:rsid w:val="6D1D5595"/>
    <w:rsid w:val="726E264F"/>
    <w:rsid w:val="74216A49"/>
    <w:rsid w:val="77B31B11"/>
    <w:rsid w:val="7B0F3BBB"/>
    <w:rsid w:val="7D4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2DCA0"/>
  <w15:docId w15:val="{33C0D707-EFDC-49B9-A1B8-E1011093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3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Company>Microsoft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Administrator</cp:lastModifiedBy>
  <cp:revision>2</cp:revision>
  <dcterms:created xsi:type="dcterms:W3CDTF">2022-05-05T08:16:00Z</dcterms:created>
  <dcterms:modified xsi:type="dcterms:W3CDTF">2022-05-05T08:16:00Z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FF6EF43D157E43CABE2C959101B631A6</vt:lpwstr>
  </property>
</Properties>
</file>