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89E8B" w14:textId="77777777" w:rsidR="007F3EB0" w:rsidRPr="007F3EB0" w:rsidRDefault="007F3EB0" w:rsidP="007F3EB0">
      <w:pPr>
        <w:jc w:val="center"/>
        <w:rPr>
          <w:rFonts w:ascii="仿宋_GB2312" w:eastAsia="仿宋_GB2312" w:hint="eastAsia"/>
          <w:b/>
          <w:bCs/>
          <w:sz w:val="28"/>
          <w:szCs w:val="28"/>
        </w:rPr>
      </w:pPr>
      <w:r w:rsidRPr="007F3EB0">
        <w:rPr>
          <w:rFonts w:ascii="仿宋_GB2312" w:eastAsia="仿宋_GB2312" w:hint="eastAsia"/>
          <w:b/>
          <w:bCs/>
          <w:sz w:val="28"/>
          <w:szCs w:val="28"/>
        </w:rPr>
        <w:t>陕西省引进国外智力示范基地认定条件</w:t>
      </w:r>
    </w:p>
    <w:p w14:paraId="6AF704BF" w14:textId="77777777"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一、申报陕西省企业院所引智示范基地应具备以下条件</w:t>
      </w:r>
    </w:p>
    <w:p w14:paraId="217E13D1" w14:textId="7ED7695F"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（一）引智示范基地依托单位必须是在我省内依法注册成立，具备独立法人资格的企事业单位、科研院所、高等学校和其他社会组织（不含外商独资企业;属中外合资企业的，中方应占股51%及以上）。</w:t>
      </w:r>
    </w:p>
    <w:p w14:paraId="7CCAF949" w14:textId="28F26982"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（二）主营业务和主要研究方向应满足以下条件之一</w:t>
      </w:r>
    </w:p>
    <w:p w14:paraId="11CA66D9" w14:textId="76C66DC6"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1.符合国家和陕西重大科技发展规划，通过与国外优秀专家和高水平创新团队合作，在前瞻性基础研究、关键共性、前沿引领、现代工程技术创新，以及行业带动发展上获得重大突破，从而推动创新体系建设与战略科技发展，在引智机制创新上形成可复制推广的先进经验。</w:t>
      </w:r>
    </w:p>
    <w:p w14:paraId="1CD85A17" w14:textId="356E450F"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2.符合供给侧结构性改革和制造业高质量发展要求，通过与国外高水平管理人才合作，开展先进技术交流，在推动传统产业优化升级，促进陕西工业综合竞争力迈入全国先进行列，培育先进制造业集群等方面取得突出成绩，形成引智工作独特模式与成功经验。</w:t>
      </w:r>
    </w:p>
    <w:p w14:paraId="3304F43B" w14:textId="625C1B4D"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3.符合我省社会发展与生态文明建设规划布局及相关政策，通过与外国专家交流合作，在推进教育文化、卫生健康事业发展、保障改善民生、发展生态经济、建设富裕和谐美丽陕西、推动全省区域协同发展中取得突出成绩，并已形成先进适用的引智工作模式、制度与渠道。</w:t>
      </w:r>
    </w:p>
    <w:p w14:paraId="601A4709" w14:textId="0290446D"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4.符合我省农业农村发展规划与脱贫攻坚战略布局，通过与国外农业专家合作，在引进先进农林牧渔品种与种植养殖技术、构建农业</w:t>
      </w:r>
      <w:r w:rsidRPr="007F3EB0">
        <w:rPr>
          <w:rFonts w:ascii="仿宋_GB2312" w:eastAsia="仿宋_GB2312" w:hint="eastAsia"/>
          <w:sz w:val="28"/>
          <w:szCs w:val="28"/>
        </w:rPr>
        <w:lastRenderedPageBreak/>
        <w:t>农村产业体系等方面成绩突出，并已成功开展引智成果示范推广应用，在实施乡村振兴战略、推进农业农村现代化与农民增收致富中发挥重要作用。</w:t>
      </w:r>
    </w:p>
    <w:p w14:paraId="6B2408AC" w14:textId="739DA8D7"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（三）建立常态化的引智服务机制，年度内聘请外国专家来陕开展技术指导和科研合作不少于8人次（或是长期专家，年度不少于3人次），培育、转化或推广引智成果不少于3项。</w:t>
      </w:r>
    </w:p>
    <w:p w14:paraId="606D979B" w14:textId="02633680"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（四）具有为推进基地建设所必备的人才条件、技术装备、资金保障。基地负责人应具有领导组织管理能力，熟悉引智政策和两年以上相关工作经验。</w:t>
      </w:r>
    </w:p>
    <w:p w14:paraId="675E0F84" w14:textId="77777777"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二、申报陕西省高等学校学科创新引智基地应具备以下条件</w:t>
      </w:r>
    </w:p>
    <w:p w14:paraId="1E861E9C" w14:textId="332E7064"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（一）学科基础</w:t>
      </w:r>
    </w:p>
    <w:p w14:paraId="1A51107B" w14:textId="77777777"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依托学科应为国内或省内一流优势特色学科，拥有国家或省部级重点科研平台，具有良好的国际人才交流合作和研究基础。建立常态化学科创新引智服务机制。</w:t>
      </w:r>
    </w:p>
    <w:p w14:paraId="32F1EEF0" w14:textId="179A8666"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（二）重点支持学科领域及方向</w:t>
      </w:r>
    </w:p>
    <w:p w14:paraId="06684622" w14:textId="77777777"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以支持自然科学领域为重点，对其他人文科学中不涉及国家安全、社会价值取向等领域，可适当考虑。</w:t>
      </w:r>
    </w:p>
    <w:p w14:paraId="69572AC4" w14:textId="1E22A7E9"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1.聚焦基础研究与应用基础研究，有望推动原始创新重大突破、实现创新引领的基础学科；</w:t>
      </w:r>
    </w:p>
    <w:p w14:paraId="501085AE" w14:textId="3290599B"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2.瞄准国家和陕西战略布局和关键核心技术攻关，有望取得自主技术重大突破、引领产业升级转型的优势学科；</w:t>
      </w:r>
    </w:p>
    <w:p w14:paraId="24E5544E" w14:textId="66CA5F7B"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3.服务产业技术进步和社会经济发展，有望促进科技成果转化的</w:t>
      </w:r>
      <w:r w:rsidRPr="007F3EB0">
        <w:rPr>
          <w:rFonts w:ascii="仿宋_GB2312" w:eastAsia="仿宋_GB2312" w:hint="eastAsia"/>
          <w:sz w:val="28"/>
          <w:szCs w:val="28"/>
        </w:rPr>
        <w:lastRenderedPageBreak/>
        <w:t xml:space="preserve">交叉融合类综合学科； </w:t>
      </w:r>
    </w:p>
    <w:p w14:paraId="0CE003FD" w14:textId="7CBDD928"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4.面向国际科技前沿和国家、陕西重大需求，有望支撑农业农村发展、生态环境治理、公共卫生体系建设、工业互联网应用、区块链、人工智能等重点领域创新发展的学科；</w:t>
      </w:r>
    </w:p>
    <w:p w14:paraId="0905B79D" w14:textId="1A40CDD1"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5.面向国家、陕西发展重点领域、文理交叉融合的综合</w:t>
      </w:r>
      <w:proofErr w:type="gramStart"/>
      <w:r w:rsidRPr="007F3EB0">
        <w:rPr>
          <w:rFonts w:ascii="仿宋_GB2312" w:eastAsia="仿宋_GB2312" w:hint="eastAsia"/>
          <w:sz w:val="28"/>
          <w:szCs w:val="28"/>
        </w:rPr>
        <w:t>智库型</w:t>
      </w:r>
      <w:proofErr w:type="gramEnd"/>
      <w:r w:rsidRPr="007F3EB0">
        <w:rPr>
          <w:rFonts w:ascii="仿宋_GB2312" w:eastAsia="仿宋_GB2312" w:hint="eastAsia"/>
          <w:sz w:val="28"/>
          <w:szCs w:val="28"/>
        </w:rPr>
        <w:t>支撑学科。</w:t>
      </w:r>
    </w:p>
    <w:p w14:paraId="3B61A614" w14:textId="43248F30"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（三）人员构成</w:t>
      </w:r>
    </w:p>
    <w:p w14:paraId="2C2D0EE8" w14:textId="6C95EA1E"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1.应聘请8名以上外国专家团队，其中包括：1名以上国际一流学术大师，5名以上高水平学术骨干；或成建制5人以上国际一流外国专家团队。</w:t>
      </w:r>
    </w:p>
    <w:p w14:paraId="57A19240" w14:textId="4E437E41"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2.国内专家团队应为8人以上，其中包括4人以上优秀学术带头人和中青年拔尖人才。</w:t>
      </w:r>
    </w:p>
    <w:p w14:paraId="6C749563" w14:textId="05C87B01"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（四</w:t>
      </w:r>
      <w:r>
        <w:rPr>
          <w:rFonts w:ascii="仿宋_GB2312" w:eastAsia="仿宋_GB2312" w:hint="eastAsia"/>
          <w:sz w:val="28"/>
          <w:szCs w:val="28"/>
        </w:rPr>
        <w:t>）</w:t>
      </w:r>
      <w:r w:rsidRPr="007F3EB0">
        <w:rPr>
          <w:rFonts w:ascii="仿宋_GB2312" w:eastAsia="仿宋_GB2312" w:hint="eastAsia"/>
          <w:sz w:val="28"/>
          <w:szCs w:val="28"/>
        </w:rPr>
        <w:t>人员条件</w:t>
      </w:r>
    </w:p>
    <w:p w14:paraId="4F93E5A2" w14:textId="772380D2"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1.应在世界排名前200名的大学、研究机构任职或受聘于世界一流学科的教学科研岗位，与本学科有良好的合作研究基础。</w:t>
      </w:r>
    </w:p>
    <w:p w14:paraId="77DD5CA1" w14:textId="2811DF9E"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2.具有外国国籍，对中国友好，品德高尚，治学严谨，富于合作精神。学术大师年龄一般不超过65岁（诺贝尔奖获得者、外籍院士等专家及急需紧缺人才，若身体健康，年龄可放宽），学术骨干年龄一般不超过55岁。</w:t>
      </w:r>
    </w:p>
    <w:p w14:paraId="02377218" w14:textId="50BC7675"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t>3.学术大师应为外国国家科学院或工程院院士或国际公认的一流专家学者，其学术水平在国际同领域处于领先地位，取得过国际公认的重要成就。</w:t>
      </w:r>
    </w:p>
    <w:p w14:paraId="2420C1E3" w14:textId="691939F9" w:rsidR="007F3EB0" w:rsidRPr="007F3EB0" w:rsidRDefault="007F3EB0" w:rsidP="007F3EB0">
      <w:pPr>
        <w:ind w:firstLineChars="200" w:firstLine="560"/>
        <w:rPr>
          <w:rFonts w:ascii="仿宋_GB2312" w:eastAsia="仿宋_GB2312" w:hint="eastAsia"/>
          <w:sz w:val="28"/>
          <w:szCs w:val="28"/>
        </w:rPr>
      </w:pPr>
      <w:r w:rsidRPr="007F3EB0">
        <w:rPr>
          <w:rFonts w:ascii="仿宋_GB2312" w:eastAsia="仿宋_GB2312" w:hint="eastAsia"/>
          <w:sz w:val="28"/>
          <w:szCs w:val="28"/>
        </w:rPr>
        <w:lastRenderedPageBreak/>
        <w:t>4.学术骨干应具有所在国副教授及以上或其他同等职务，在所属领域取得过同行公认的创新性成果。</w:t>
      </w:r>
    </w:p>
    <w:p w14:paraId="763D2213" w14:textId="236603B6" w:rsidR="007F3EB0" w:rsidRPr="007F3EB0" w:rsidRDefault="007F3EB0" w:rsidP="006D3ED8">
      <w:pPr>
        <w:ind w:firstLineChars="200" w:firstLine="560"/>
        <w:rPr>
          <w:rFonts w:ascii="仿宋_GB2312" w:eastAsia="仿宋_GB2312" w:hint="eastAsia"/>
          <w:sz w:val="28"/>
          <w:szCs w:val="28"/>
        </w:rPr>
      </w:pPr>
      <w:r w:rsidRPr="007F3EB0">
        <w:rPr>
          <w:rFonts w:ascii="仿宋_GB2312" w:eastAsia="仿宋_GB2312" w:hint="eastAsia"/>
          <w:sz w:val="28"/>
          <w:szCs w:val="28"/>
        </w:rPr>
        <w:t>5.学术大师每人每年来华工作时间原则上累计不少于1个月；学术骨干每人每年来华工作时间原则上累计不少于2个月，一般应保持有1名以上海外学术骨干长期在基地工作。</w:t>
      </w:r>
    </w:p>
    <w:p w14:paraId="00FFD2D7" w14:textId="22513282" w:rsidR="00FF0A59" w:rsidRPr="007F3EB0" w:rsidRDefault="007F3EB0" w:rsidP="006D3ED8">
      <w:pPr>
        <w:ind w:firstLineChars="200" w:firstLine="560"/>
        <w:rPr>
          <w:rFonts w:ascii="仿宋_GB2312" w:eastAsia="仿宋_GB2312" w:hint="eastAsia"/>
          <w:sz w:val="28"/>
          <w:szCs w:val="28"/>
        </w:rPr>
      </w:pPr>
      <w:r w:rsidRPr="007F3EB0">
        <w:rPr>
          <w:rFonts w:ascii="仿宋_GB2312" w:eastAsia="仿宋_GB2312" w:hint="eastAsia"/>
          <w:sz w:val="28"/>
          <w:szCs w:val="28"/>
        </w:rPr>
        <w:t>6.国内研究团队学术带头人的年龄一般不超过60岁、科研骨干成员年龄一般不超过50岁，两院院士、长江学者、杰出青年基金获得者等国家人才计划获得者应占有一定比例。</w:t>
      </w:r>
    </w:p>
    <w:p w14:paraId="4585A320" w14:textId="77777777" w:rsidR="007F3EB0" w:rsidRPr="007F3EB0" w:rsidRDefault="007F3EB0">
      <w:pPr>
        <w:rPr>
          <w:rFonts w:ascii="仿宋_GB2312" w:eastAsia="仿宋_GB2312"/>
          <w:sz w:val="28"/>
          <w:szCs w:val="28"/>
        </w:rPr>
      </w:pPr>
    </w:p>
    <w:sectPr w:rsidR="007F3EB0" w:rsidRPr="007F3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B0"/>
    <w:rsid w:val="006D3ED8"/>
    <w:rsid w:val="007F3EB0"/>
    <w:rsid w:val="009776D6"/>
    <w:rsid w:val="00D31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A0DA"/>
  <w15:chartTrackingRefBased/>
  <w15:docId w15:val="{AE6BD66F-1FDD-4D0A-BA0E-BE16F0E8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2021-03-24T00:55:00Z</dcterms:created>
  <dcterms:modified xsi:type="dcterms:W3CDTF">2021-03-24T00:57:00Z</dcterms:modified>
</cp:coreProperties>
</file>