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7C4" w:rsidRPr="00A357C4" w:rsidRDefault="00A357C4" w:rsidP="00A357C4">
      <w:pPr>
        <w:spacing w:after="0" w:line="360" w:lineRule="auto"/>
        <w:jc w:val="both"/>
        <w:rPr>
          <w:rFonts w:ascii="宋体" w:eastAsia="宋体" w:hAnsi="宋体"/>
          <w:color w:val="000000" w:themeColor="text1"/>
          <w:sz w:val="32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 w:val="32"/>
          <w:szCs w:val="24"/>
        </w:rPr>
        <w:t>附件：我校拟推荐的陕西省中医药管</w:t>
      </w:r>
      <w:proofErr w:type="gramStart"/>
      <w:r>
        <w:rPr>
          <w:rFonts w:ascii="宋体" w:eastAsia="宋体" w:hAnsi="宋体" w:hint="eastAsia"/>
          <w:color w:val="000000" w:themeColor="text1"/>
          <w:sz w:val="32"/>
          <w:szCs w:val="24"/>
        </w:rPr>
        <w:t>局科研</w:t>
      </w:r>
      <w:proofErr w:type="gramEnd"/>
      <w:r>
        <w:rPr>
          <w:rFonts w:ascii="宋体" w:eastAsia="宋体" w:hAnsi="宋体" w:hint="eastAsia"/>
          <w:color w:val="000000" w:themeColor="text1"/>
          <w:sz w:val="32"/>
          <w:szCs w:val="24"/>
        </w:rPr>
        <w:t>项目名单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1106"/>
        <w:gridCol w:w="4329"/>
        <w:gridCol w:w="2058"/>
      </w:tblGrid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b/>
                <w:sz w:val="28"/>
              </w:rPr>
            </w:pPr>
            <w:r w:rsidRPr="00A357C4">
              <w:rPr>
                <w:rFonts w:ascii="Times New Roman" w:eastAsia="宋体" w:hAnsi="宋体" w:hint="eastAsia"/>
                <w:b/>
                <w:sz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b/>
                <w:sz w:val="28"/>
              </w:rPr>
            </w:pPr>
            <w:r w:rsidRPr="00A357C4">
              <w:rPr>
                <w:rFonts w:ascii="Times New Roman" w:eastAsia="宋体" w:hAnsi="宋体" w:hint="eastAsia"/>
                <w:b/>
                <w:sz w:val="28"/>
              </w:rPr>
              <w:t>姓名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b/>
                <w:sz w:val="28"/>
              </w:rPr>
            </w:pPr>
            <w:r w:rsidRPr="00A357C4">
              <w:rPr>
                <w:rFonts w:ascii="Times New Roman" w:eastAsia="宋体" w:hAnsi="宋体" w:hint="eastAsia"/>
                <w:b/>
                <w:sz w:val="28"/>
              </w:rPr>
              <w:t>课题名称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b/>
                <w:sz w:val="28"/>
              </w:rPr>
            </w:pPr>
            <w:r w:rsidRPr="00A357C4">
              <w:rPr>
                <w:rFonts w:ascii="Times New Roman" w:eastAsia="宋体" w:hAnsi="宋体" w:hint="eastAsia"/>
                <w:b/>
                <w:sz w:val="28"/>
              </w:rPr>
              <w:t>项目类型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李毅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基于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Th17/Treg</w:t>
            </w:r>
            <w:r w:rsidRPr="00A357C4">
              <w:rPr>
                <w:rFonts w:ascii="Times New Roman" w:eastAsia="宋体" w:hAnsi="宋体" w:hint="eastAsia"/>
                <w:sz w:val="28"/>
              </w:rPr>
              <w:t>免疫网络研究扶阳活血</w:t>
            </w: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解毒方抗溃疡性结肠炎</w:t>
            </w:r>
            <w:proofErr w:type="gramEnd"/>
            <w:r w:rsidRPr="00A357C4">
              <w:rPr>
                <w:rFonts w:ascii="Times New Roman" w:eastAsia="宋体" w:hAnsi="宋体" w:hint="eastAsia"/>
                <w:sz w:val="28"/>
              </w:rPr>
              <w:t>复发的作用机制及临床疗效评价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张玲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基于少阴经脉理论治疗紫癜性肾炎方案研究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冷伟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枳实消</w:t>
            </w: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痞</w:t>
            </w:r>
            <w:proofErr w:type="gramEnd"/>
            <w:r w:rsidRPr="00A357C4">
              <w:rPr>
                <w:rFonts w:ascii="Times New Roman" w:eastAsia="宋体" w:hAnsi="宋体" w:hint="eastAsia"/>
                <w:sz w:val="28"/>
              </w:rPr>
              <w:t>颗粒改善腹膜透析患者营养状况及胃肠能障碍的临床研究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郭小兰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对养老机构老年人衰弱的中医护理方案研究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王东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针刺调控颅脑损伤后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ABC</w:t>
            </w:r>
            <w:r w:rsidRPr="00A357C4">
              <w:rPr>
                <w:rFonts w:ascii="Times New Roman" w:eastAsia="宋体" w:hAnsi="宋体" w:hint="eastAsia"/>
                <w:sz w:val="28"/>
              </w:rPr>
              <w:t>转运蛋白的分子机制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赵娴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电针调节去卵巢脂质代谢</w:t>
            </w: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紊乱大</w:t>
            </w:r>
            <w:proofErr w:type="gramEnd"/>
            <w:r w:rsidRPr="00A357C4">
              <w:rPr>
                <w:rFonts w:ascii="Times New Roman" w:eastAsia="宋体" w:hAnsi="宋体" w:hint="eastAsia"/>
                <w:sz w:val="28"/>
              </w:rPr>
              <w:t>鼠效应机制研究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黄文丽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秦巴地区黄连中重金属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Cd</w:t>
            </w:r>
            <w:r w:rsidRPr="00A357C4">
              <w:rPr>
                <w:rFonts w:ascii="Times New Roman" w:eastAsia="宋体" w:hAnsi="宋体" w:hint="eastAsia"/>
                <w:sz w:val="28"/>
              </w:rPr>
              <w:t>的积累解毒机制研究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刘晓华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黄芩素经</w:t>
            </w:r>
            <w:proofErr w:type="gramEnd"/>
            <w:r w:rsidRPr="00A357C4">
              <w:rPr>
                <w:rFonts w:ascii="Times New Roman" w:eastAsia="宋体" w:hAnsi="Times New Roman" w:hint="eastAsia"/>
                <w:sz w:val="28"/>
              </w:rPr>
              <w:t>GDNF/miR183</w:t>
            </w:r>
            <w:r w:rsidRPr="00A357C4">
              <w:rPr>
                <w:rFonts w:ascii="Times New Roman" w:eastAsia="宋体" w:hAnsi="宋体" w:hint="eastAsia"/>
                <w:sz w:val="28"/>
              </w:rPr>
              <w:t>对神经病理</w:t>
            </w: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痛发挥</w:t>
            </w:r>
            <w:proofErr w:type="gramEnd"/>
            <w:r w:rsidRPr="00A357C4">
              <w:rPr>
                <w:rFonts w:ascii="Times New Roman" w:eastAsia="宋体" w:hAnsi="宋体" w:hint="eastAsia"/>
                <w:sz w:val="28"/>
              </w:rPr>
              <w:t>镇痛作用的机制研究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楚曼</w:t>
            </w:r>
          </w:p>
        </w:tc>
        <w:tc>
          <w:tcPr>
            <w:tcW w:w="4440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林芝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-</w:t>
            </w:r>
            <w:r w:rsidRPr="00A357C4">
              <w:rPr>
                <w:rFonts w:ascii="Times New Roman" w:eastAsia="宋体" w:hAnsi="宋体" w:hint="eastAsia"/>
                <w:sz w:val="28"/>
              </w:rPr>
              <w:t>三妙散提取物对足细胞和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T</w:t>
            </w:r>
            <w:r w:rsidRPr="00A357C4">
              <w:rPr>
                <w:rFonts w:ascii="Times New Roman" w:eastAsia="宋体" w:hAnsi="宋体" w:hint="eastAsia"/>
                <w:sz w:val="28"/>
              </w:rPr>
              <w:t>细胞的抗炎活性及机制研究：狼疮性肾炎的潜在治疗策略探索</w:t>
            </w:r>
          </w:p>
        </w:tc>
        <w:tc>
          <w:tcPr>
            <w:tcW w:w="2131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资助类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杨芳艳</w:t>
            </w:r>
          </w:p>
        </w:tc>
        <w:tc>
          <w:tcPr>
            <w:tcW w:w="4440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基于数据挖掘的李东垣叶天士脾胃病证治用药对比研究</w:t>
            </w:r>
          </w:p>
        </w:tc>
        <w:tc>
          <w:tcPr>
            <w:tcW w:w="2131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共建类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乔文彪</w:t>
            </w:r>
          </w:p>
        </w:tc>
        <w:tc>
          <w:tcPr>
            <w:tcW w:w="4440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《孙思邈大辞典》编撰研究</w:t>
            </w:r>
          </w:p>
        </w:tc>
        <w:tc>
          <w:tcPr>
            <w:tcW w:w="2131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共建类</w:t>
            </w:r>
          </w:p>
        </w:tc>
      </w:tr>
      <w:tr w:rsidR="00894A0E" w:rsidRPr="00A357C4" w:rsidTr="00A357C4">
        <w:tc>
          <w:tcPr>
            <w:tcW w:w="817" w:type="dxa"/>
            <w:vAlign w:val="center"/>
          </w:tcPr>
          <w:p w:rsidR="00894A0E" w:rsidRPr="00A357C4" w:rsidRDefault="00894A0E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Times New Roman" w:hint="eastAsia"/>
                <w:sz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郑运松</w:t>
            </w:r>
            <w:proofErr w:type="gramEnd"/>
          </w:p>
        </w:tc>
        <w:tc>
          <w:tcPr>
            <w:tcW w:w="4440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基于</w:t>
            </w:r>
            <w:r w:rsidRPr="00A357C4">
              <w:rPr>
                <w:rFonts w:ascii="Times New Roman" w:eastAsia="宋体" w:hAnsi="Times New Roman" w:hint="eastAsia"/>
                <w:sz w:val="28"/>
              </w:rPr>
              <w:t>fMRI</w:t>
            </w:r>
            <w:r w:rsidRPr="00A357C4">
              <w:rPr>
                <w:rFonts w:ascii="Times New Roman" w:eastAsia="宋体" w:hAnsi="宋体" w:hint="eastAsia"/>
                <w:sz w:val="28"/>
              </w:rPr>
              <w:t>探讨针灸治疗血管性痴呆的</w:t>
            </w:r>
            <w:proofErr w:type="gramStart"/>
            <w:r w:rsidRPr="00A357C4">
              <w:rPr>
                <w:rFonts w:ascii="Times New Roman" w:eastAsia="宋体" w:hAnsi="宋体" w:hint="eastAsia"/>
                <w:sz w:val="28"/>
              </w:rPr>
              <w:t>脑结构</w:t>
            </w:r>
            <w:proofErr w:type="gramEnd"/>
            <w:r w:rsidRPr="00A357C4">
              <w:rPr>
                <w:rFonts w:ascii="Times New Roman" w:eastAsia="宋体" w:hAnsi="Times New Roman" w:hint="eastAsia"/>
                <w:sz w:val="28"/>
              </w:rPr>
              <w:t>-</w:t>
            </w:r>
            <w:r w:rsidRPr="00A357C4">
              <w:rPr>
                <w:rFonts w:ascii="Times New Roman" w:eastAsia="宋体" w:hAnsi="宋体" w:hint="eastAsia"/>
                <w:sz w:val="28"/>
              </w:rPr>
              <w:t>功能网络机制研究</w:t>
            </w:r>
          </w:p>
        </w:tc>
        <w:tc>
          <w:tcPr>
            <w:tcW w:w="2131" w:type="dxa"/>
            <w:vAlign w:val="center"/>
          </w:tcPr>
          <w:p w:rsidR="00894A0E" w:rsidRPr="00A357C4" w:rsidRDefault="00E14406" w:rsidP="00E14406">
            <w:pPr>
              <w:spacing w:line="220" w:lineRule="atLeast"/>
              <w:jc w:val="center"/>
              <w:rPr>
                <w:rFonts w:ascii="Times New Roman" w:eastAsia="宋体" w:hAnsi="Times New Roman"/>
                <w:sz w:val="28"/>
              </w:rPr>
            </w:pPr>
            <w:r w:rsidRPr="00A357C4">
              <w:rPr>
                <w:rFonts w:ascii="Times New Roman" w:eastAsia="宋体" w:hAnsi="宋体" w:hint="eastAsia"/>
                <w:sz w:val="28"/>
              </w:rPr>
              <w:t>共建类</w:t>
            </w:r>
          </w:p>
        </w:tc>
      </w:tr>
    </w:tbl>
    <w:p w:rsidR="00894A0E" w:rsidRDefault="00894A0E" w:rsidP="00D31D50">
      <w:pPr>
        <w:spacing w:line="220" w:lineRule="atLeast"/>
      </w:pPr>
    </w:p>
    <w:p w:rsidR="00894A0E" w:rsidRDefault="00894A0E" w:rsidP="00D31D50">
      <w:pPr>
        <w:spacing w:line="220" w:lineRule="atLeast"/>
      </w:pPr>
    </w:p>
    <w:sectPr w:rsidR="00894A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379" w:rsidRDefault="00E37379" w:rsidP="000B2C9F">
      <w:pPr>
        <w:spacing w:after="0"/>
      </w:pPr>
      <w:r>
        <w:separator/>
      </w:r>
    </w:p>
  </w:endnote>
  <w:endnote w:type="continuationSeparator" w:id="0">
    <w:p w:rsidR="00E37379" w:rsidRDefault="00E37379" w:rsidP="000B2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379" w:rsidRDefault="00E37379" w:rsidP="000B2C9F">
      <w:pPr>
        <w:spacing w:after="0"/>
      </w:pPr>
      <w:r>
        <w:separator/>
      </w:r>
    </w:p>
  </w:footnote>
  <w:footnote w:type="continuationSeparator" w:id="0">
    <w:p w:rsidR="00E37379" w:rsidRDefault="00E37379" w:rsidP="000B2C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47A49"/>
    <w:rsid w:val="000A23A1"/>
    <w:rsid w:val="000B2C9F"/>
    <w:rsid w:val="00323B43"/>
    <w:rsid w:val="003D37D8"/>
    <w:rsid w:val="00426133"/>
    <w:rsid w:val="004358AB"/>
    <w:rsid w:val="00530B9C"/>
    <w:rsid w:val="006971E2"/>
    <w:rsid w:val="006F062E"/>
    <w:rsid w:val="0085118A"/>
    <w:rsid w:val="00894A0E"/>
    <w:rsid w:val="008B7726"/>
    <w:rsid w:val="00A357C4"/>
    <w:rsid w:val="00D31D50"/>
    <w:rsid w:val="00E14406"/>
    <w:rsid w:val="00E37379"/>
    <w:rsid w:val="00F5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145BD6-C950-4EBE-9B6E-EFCFA5D0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7C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357C4"/>
    <w:rPr>
      <w:rFonts w:ascii="Tahoma" w:hAnsi="Tahoma"/>
    </w:rPr>
  </w:style>
  <w:style w:type="paragraph" w:styleId="a6">
    <w:name w:val="header"/>
    <w:basedOn w:val="a"/>
    <w:link w:val="a7"/>
    <w:uiPriority w:val="99"/>
    <w:unhideWhenUsed/>
    <w:rsid w:val="000B2C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2C9F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2C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B2C9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2019-05-23T06:49:00Z</cp:lastPrinted>
  <dcterms:created xsi:type="dcterms:W3CDTF">2019-05-23T09:19:00Z</dcterms:created>
  <dcterms:modified xsi:type="dcterms:W3CDTF">2019-05-23T09:19:00Z</dcterms:modified>
</cp:coreProperties>
</file>