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9E3" w:rsidRDefault="001259E3">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项目公示信息</w:t>
      </w:r>
      <w:r>
        <w:rPr>
          <w:rFonts w:ascii="仿宋_GB2312" w:eastAsia="仿宋_GB2312" w:hAnsi="仿宋_GB2312" w:cs="仿宋_GB2312"/>
          <w:b/>
          <w:sz w:val="32"/>
          <w:szCs w:val="32"/>
        </w:rPr>
        <w:t>3.</w:t>
      </w:r>
    </w:p>
    <w:p w:rsidR="001259E3" w:rsidRDefault="001259E3">
      <w:pP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项目名称：基于“毒性</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功效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证候三要素”的何首乌“毒</w:t>
      </w:r>
      <w:r>
        <w:rPr>
          <w:rFonts w:ascii="仿宋_GB2312" w:eastAsia="仿宋_GB2312" w:hAnsi="仿宋_GB2312" w:cs="仿宋_GB2312"/>
          <w:sz w:val="32"/>
          <w:szCs w:val="32"/>
        </w:rPr>
        <w:t>-</w:t>
      </w:r>
    </w:p>
    <w:p w:rsidR="001259E3" w:rsidRDefault="001259E3">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效”物质基础及作用机制研究</w:t>
      </w:r>
    </w:p>
    <w:p w:rsidR="001259E3" w:rsidRDefault="001259E3">
      <w:pPr>
        <w:rPr>
          <w:rFonts w:ascii="仿宋_GB2312" w:eastAsia="仿宋_GB2312" w:hAnsi="仿宋_GB2312" w:cs="仿宋_GB2312"/>
          <w:sz w:val="32"/>
          <w:szCs w:val="32"/>
        </w:rPr>
      </w:pPr>
      <w:r>
        <w:rPr>
          <w:rFonts w:ascii="仿宋_GB2312" w:eastAsia="仿宋_GB2312" w:hAnsi="仿宋_GB2312" w:cs="仿宋_GB2312" w:hint="eastAsia"/>
          <w:sz w:val="32"/>
          <w:szCs w:val="32"/>
        </w:rPr>
        <w:t>完成单位：陕西中医药大学、成都中医药大学</w:t>
      </w:r>
    </w:p>
    <w:p w:rsidR="001259E3" w:rsidRDefault="001259E3">
      <w:pPr>
        <w:rPr>
          <w:rFonts w:ascii="仿宋_GB2312" w:eastAsia="仿宋_GB2312" w:hAnsi="仿宋_GB2312" w:cs="仿宋_GB2312"/>
          <w:sz w:val="32"/>
          <w:szCs w:val="32"/>
        </w:rPr>
      </w:pPr>
      <w:r>
        <w:rPr>
          <w:rFonts w:ascii="仿宋_GB2312" w:eastAsia="仿宋_GB2312" w:hAnsi="仿宋_GB2312" w:cs="仿宋_GB2312" w:hint="eastAsia"/>
          <w:sz w:val="32"/>
          <w:szCs w:val="32"/>
        </w:rPr>
        <w:t>完成人：卫培峰、胡锡琴、缪峰、王昌利、冯雪梅、谭从娥、</w:t>
      </w:r>
    </w:p>
    <w:p w:rsidR="001259E3" w:rsidRDefault="001259E3">
      <w:pP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严惠芳、欧莉、苗彦霞、焦晨莉、陈丹丹</w:t>
      </w:r>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项目简介：何首乌始载于《开宝本草》，有补肝肾，益精血之功，是多种补血类中成药、保健食品中的常用中药之一，用途广泛。但是，近些年关于服用何首乌导致药物性肝损伤的病例时有报道，据不完全统计自</w:t>
      </w:r>
      <w:r>
        <w:rPr>
          <w:rFonts w:ascii="仿宋_GB2312" w:eastAsia="仿宋_GB2312" w:hAnsi="仿宋_GB2312" w:cs="仿宋_GB2312"/>
          <w:sz w:val="32"/>
          <w:szCs w:val="32"/>
        </w:rPr>
        <w:t>1982-2012</w:t>
      </w:r>
      <w:r>
        <w:rPr>
          <w:rFonts w:ascii="仿宋_GB2312" w:eastAsia="仿宋_GB2312" w:hAnsi="仿宋_GB2312" w:cs="仿宋_GB2312" w:hint="eastAsia"/>
          <w:sz w:val="32"/>
          <w:szCs w:val="32"/>
        </w:rPr>
        <w:t>年期间，有关何首乌引发肝损伤的明确病例有</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余例。</w:t>
      </w:r>
      <w:r>
        <w:rPr>
          <w:rFonts w:ascii="仿宋_GB2312" w:eastAsia="仿宋_GB2312" w:hAnsi="仿宋_GB2312" w:cs="仿宋_GB2312"/>
          <w:sz w:val="32"/>
          <w:szCs w:val="32"/>
        </w:rPr>
        <w:t>2006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月，英国</w:t>
      </w:r>
      <w:r>
        <w:rPr>
          <w:rFonts w:ascii="仿宋_GB2312" w:eastAsia="仿宋_GB2312" w:hAnsi="仿宋_GB2312" w:cs="仿宋_GB2312"/>
          <w:sz w:val="32"/>
          <w:szCs w:val="32"/>
        </w:rPr>
        <w:t>MHRA</w:t>
      </w:r>
      <w:r>
        <w:rPr>
          <w:rFonts w:ascii="仿宋_GB2312" w:eastAsia="仿宋_GB2312" w:hAnsi="仿宋_GB2312" w:cs="仿宋_GB2312" w:hint="eastAsia"/>
          <w:sz w:val="32"/>
          <w:szCs w:val="32"/>
        </w:rPr>
        <w:t>已提出慎用首乌。</w:t>
      </w:r>
      <w:r>
        <w:rPr>
          <w:rFonts w:ascii="仿宋_GB2312" w:eastAsia="仿宋_GB2312" w:hAnsi="仿宋_GB2312" w:cs="仿宋_GB2312"/>
          <w:sz w:val="32"/>
          <w:szCs w:val="32"/>
        </w:rPr>
        <w:t>2012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我国国家食品药品监督管理局安全评价中心针对何首乌所导致的药物性肝损伤问题召开了专家讨论会，探讨何首乌的安全使用问题。因此，深入系统地研究何首乌的治疗作用及不良反应的发生原因、作用机理及其与中医证候的相关性，可指导临床医生正确把握何首乌“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证”的关系，既能发挥其应有的功效，又能减少其导致的不良反应的发生，为何首乌临床安全、合理用药提供确切的实验依据。本项目的主要创新点有：</w:t>
      </w:r>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）在国内率先开展何首乌致肝损伤作用机制及物质基础研究。通过何首乌致肝损伤“量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毒”、何首乌致肝损伤物质基础、何首乌不同炮制品致肝损伤的相关机制等系列研究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从药物代谢酶、细胞凋亡等途径对何首乌致肝损伤机制进行了深入探讨，为何首乌的临床合理炮制及应用（时间、剂量）提供了实验依据。</w:t>
      </w:r>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）基于传统中药功效特点的药效物质基础研究。以何首乌传统功效“补肝肾，益精血”为基础，通过药效学研究确定二苯乙烯苷及制首乌多糖（</w:t>
      </w:r>
      <w:r>
        <w:rPr>
          <w:rFonts w:ascii="仿宋_GB2312" w:eastAsia="仿宋_GB2312" w:hAnsi="仿宋_GB2312" w:cs="仿宋_GB2312"/>
          <w:sz w:val="32"/>
          <w:szCs w:val="32"/>
        </w:rPr>
        <w:t>PPS</w:t>
      </w:r>
      <w:r>
        <w:rPr>
          <w:rFonts w:ascii="仿宋_GB2312" w:eastAsia="仿宋_GB2312" w:hAnsi="仿宋_GB2312" w:cs="仿宋_GB2312" w:hint="eastAsia"/>
          <w:sz w:val="32"/>
          <w:szCs w:val="32"/>
        </w:rPr>
        <w:t>）是其发挥补肝肾、益精血的主要药效主要物质基础之一，为何首乌临床应用和开发研究奠定了实验研究基础。</w:t>
      </w:r>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）基于“药证对应”原则探讨何首乌的“毒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证”机制研究。在肾阳虚、肾阴虚证候模型研究的基础上，通过何首乌对不同证候模型大鼠分子生物学机制的研究，确定肾阳虚证候应是何首乌的主要靶向证候之一。说明何首乌肝毒性与药不对证（有故无陨）存在一定关联性，这为中药毒性机理研究提供了新的研究思路与方法。</w:t>
      </w:r>
    </w:p>
    <w:p w:rsidR="001259E3" w:rsidRPr="00FB045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主要标志性成果包括：（</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）陕西省科技成果</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）陕西省自然科学论文三等奖</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）发表论文</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篇（</w:t>
      </w:r>
      <w:r>
        <w:rPr>
          <w:rFonts w:ascii="仿宋_GB2312" w:eastAsia="仿宋_GB2312" w:hAnsi="仿宋_GB2312" w:cs="仿宋_GB2312"/>
          <w:sz w:val="32"/>
          <w:szCs w:val="32"/>
        </w:rPr>
        <w:t>SCI</w:t>
      </w:r>
      <w:r w:rsidRPr="00FB0453">
        <w:rPr>
          <w:rFonts w:ascii="仿宋_GB2312" w:eastAsia="仿宋_GB2312" w:hAnsi="仿宋_GB2312" w:cs="仿宋_GB2312" w:hint="eastAsia"/>
          <w:sz w:val="32"/>
          <w:szCs w:val="32"/>
        </w:rPr>
        <w:t>论文</w:t>
      </w:r>
      <w:r w:rsidRPr="00FB0453">
        <w:rPr>
          <w:rFonts w:ascii="仿宋_GB2312" w:eastAsia="仿宋_GB2312" w:hAnsi="仿宋_GB2312" w:cs="仿宋_GB2312"/>
          <w:sz w:val="32"/>
          <w:szCs w:val="32"/>
        </w:rPr>
        <w:t>2</w:t>
      </w:r>
      <w:r w:rsidRPr="00FB0453">
        <w:rPr>
          <w:rFonts w:ascii="仿宋_GB2312" w:eastAsia="仿宋_GB2312" w:hAnsi="仿宋_GB2312" w:cs="仿宋_GB2312" w:hint="eastAsia"/>
          <w:sz w:val="32"/>
          <w:szCs w:val="32"/>
        </w:rPr>
        <w:t>篇，</w:t>
      </w:r>
      <w:r w:rsidRPr="00FB0453">
        <w:rPr>
          <w:rFonts w:ascii="仿宋_GB2312" w:eastAsia="仿宋_GB2312" w:hAnsi="仿宋_GB2312" w:cs="仿宋_GB2312"/>
          <w:sz w:val="32"/>
          <w:szCs w:val="32"/>
        </w:rPr>
        <w:t>CSCD</w:t>
      </w:r>
      <w:r w:rsidRPr="00FB0453">
        <w:rPr>
          <w:rFonts w:ascii="仿宋_GB2312" w:eastAsia="仿宋_GB2312" w:hAnsi="仿宋_GB2312" w:cs="仿宋_GB2312" w:hint="eastAsia"/>
          <w:sz w:val="32"/>
          <w:szCs w:val="32"/>
        </w:rPr>
        <w:t>核心</w:t>
      </w:r>
      <w:r w:rsidRPr="00FB0453">
        <w:rPr>
          <w:rFonts w:ascii="仿宋_GB2312" w:eastAsia="仿宋_GB2312" w:hAnsi="仿宋_GB2312" w:cs="仿宋_GB2312"/>
          <w:sz w:val="32"/>
          <w:szCs w:val="32"/>
        </w:rPr>
        <w:t>17</w:t>
      </w:r>
      <w:r w:rsidRPr="00FB0453">
        <w:rPr>
          <w:rFonts w:ascii="仿宋_GB2312" w:eastAsia="仿宋_GB2312" w:hAnsi="仿宋_GB2312" w:cs="仿宋_GB2312" w:hint="eastAsia"/>
          <w:sz w:val="32"/>
          <w:szCs w:val="32"/>
        </w:rPr>
        <w:t>篇</w:t>
      </w:r>
      <w:r w:rsidRPr="00FB0453">
        <w:rPr>
          <w:rFonts w:ascii="仿宋_GB2312" w:eastAsia="仿宋_GB2312" w:hAnsi="仿宋_GB2312" w:cs="仿宋_GB2312"/>
          <w:sz w:val="32"/>
          <w:szCs w:val="32"/>
        </w:rPr>
        <w:t>,</w:t>
      </w:r>
      <w:r w:rsidRPr="00FB0453">
        <w:rPr>
          <w:rFonts w:ascii="仿宋_GB2312" w:eastAsia="仿宋_GB2312" w:hAnsi="仿宋_GB2312" w:cs="仿宋_GB2312" w:hint="eastAsia"/>
          <w:sz w:val="32"/>
          <w:szCs w:val="32"/>
        </w:rPr>
        <w:t>中文及其他核心</w:t>
      </w:r>
      <w:r w:rsidRPr="00FB0453">
        <w:rPr>
          <w:rFonts w:ascii="仿宋_GB2312" w:eastAsia="仿宋_GB2312" w:hAnsi="仿宋_GB2312" w:cs="仿宋_GB2312"/>
          <w:sz w:val="32"/>
          <w:szCs w:val="32"/>
        </w:rPr>
        <w:t>20</w:t>
      </w:r>
      <w:r w:rsidRPr="00FB0453">
        <w:rPr>
          <w:rFonts w:ascii="仿宋_GB2312" w:eastAsia="仿宋_GB2312" w:hAnsi="仿宋_GB2312" w:cs="仿宋_GB2312" w:hint="eastAsia"/>
          <w:sz w:val="32"/>
          <w:szCs w:val="32"/>
        </w:rPr>
        <w:t>篇），单篇最高他引</w:t>
      </w:r>
      <w:r w:rsidRPr="00FB0453">
        <w:rPr>
          <w:rFonts w:ascii="仿宋_GB2312" w:eastAsia="仿宋_GB2312" w:hAnsi="仿宋_GB2312" w:cs="仿宋_GB2312"/>
          <w:sz w:val="32"/>
          <w:szCs w:val="32"/>
        </w:rPr>
        <w:t>48</w:t>
      </w:r>
      <w:r w:rsidRPr="00FB0453">
        <w:rPr>
          <w:rFonts w:ascii="仿宋_GB2312" w:eastAsia="仿宋_GB2312" w:hAnsi="仿宋_GB2312" w:cs="仿宋_GB2312" w:hint="eastAsia"/>
          <w:sz w:val="32"/>
          <w:szCs w:val="32"/>
        </w:rPr>
        <w:t>次，待发表论文</w:t>
      </w:r>
      <w:r w:rsidRPr="00FB0453">
        <w:rPr>
          <w:rFonts w:ascii="仿宋_GB2312" w:eastAsia="仿宋_GB2312" w:hAnsi="仿宋_GB2312" w:cs="仿宋_GB2312"/>
          <w:sz w:val="32"/>
          <w:szCs w:val="32"/>
        </w:rPr>
        <w:t>7</w:t>
      </w:r>
      <w:r w:rsidRPr="00FB0453">
        <w:rPr>
          <w:rFonts w:ascii="仿宋_GB2312" w:eastAsia="仿宋_GB2312" w:hAnsi="仿宋_GB2312" w:cs="仿宋_GB2312" w:hint="eastAsia"/>
          <w:sz w:val="32"/>
          <w:szCs w:val="32"/>
        </w:rPr>
        <w:t>篇（</w:t>
      </w:r>
      <w:r w:rsidRPr="00FB0453">
        <w:rPr>
          <w:rFonts w:ascii="仿宋_GB2312" w:eastAsia="仿宋_GB2312" w:hAnsi="仿宋_GB2312" w:cs="仿宋_GB2312"/>
          <w:sz w:val="32"/>
          <w:szCs w:val="32"/>
        </w:rPr>
        <w:t>2016</w:t>
      </w:r>
      <w:r w:rsidRPr="00FB0453">
        <w:rPr>
          <w:rFonts w:ascii="仿宋_GB2312" w:eastAsia="仿宋_GB2312" w:hAnsi="仿宋_GB2312" w:cs="仿宋_GB2312" w:hint="eastAsia"/>
          <w:sz w:val="32"/>
          <w:szCs w:val="32"/>
        </w:rPr>
        <w:t>年已发表</w:t>
      </w:r>
      <w:r w:rsidRPr="00FB0453">
        <w:rPr>
          <w:rFonts w:ascii="仿宋_GB2312" w:eastAsia="仿宋_GB2312" w:hAnsi="仿宋_GB2312" w:cs="仿宋_GB2312"/>
          <w:sz w:val="32"/>
          <w:szCs w:val="32"/>
        </w:rPr>
        <w:t>3</w:t>
      </w:r>
      <w:r w:rsidRPr="00FB0453">
        <w:rPr>
          <w:rFonts w:ascii="仿宋_GB2312" w:eastAsia="仿宋_GB2312" w:hAnsi="仿宋_GB2312" w:cs="仿宋_GB2312" w:hint="eastAsia"/>
          <w:sz w:val="32"/>
          <w:szCs w:val="32"/>
        </w:rPr>
        <w:t>篇），培养研究生共</w:t>
      </w:r>
      <w:r w:rsidRPr="00FB0453">
        <w:rPr>
          <w:rFonts w:ascii="仿宋_GB2312" w:eastAsia="仿宋_GB2312" w:hAnsi="仿宋_GB2312" w:cs="仿宋_GB2312"/>
          <w:sz w:val="32"/>
          <w:szCs w:val="32"/>
        </w:rPr>
        <w:t>50</w:t>
      </w:r>
      <w:r w:rsidRPr="00FB0453">
        <w:rPr>
          <w:rFonts w:ascii="仿宋_GB2312" w:eastAsia="仿宋_GB2312" w:hAnsi="仿宋_GB2312" w:cs="仿宋_GB2312" w:hint="eastAsia"/>
          <w:sz w:val="32"/>
          <w:szCs w:val="32"/>
        </w:rPr>
        <w:t>余名。</w:t>
      </w:r>
      <w:bookmarkStart w:id="0" w:name="_GoBack"/>
      <w:bookmarkEnd w:id="0"/>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项目首次系统地评价了何首乌“毒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证”的关系，为何首乌临床安全、合理的应用提供了坚实的实验依据，从实验学角度阐释了中医学有故无陨的思想理论，并取得了一定成果，也产生了显著的社会效益。</w:t>
      </w:r>
    </w:p>
    <w:p w:rsidR="001259E3" w:rsidRDefault="001259E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主要知识产权目录</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篇代表作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1259E3" w:rsidRDefault="001259E3">
      <w:pPr>
        <w:spacing w:line="560" w:lineRule="exact"/>
        <w:rPr>
          <w:rFonts w:ascii="仿宋_GB2312" w:eastAsia="仿宋_GB2312" w:hAnsi="仿宋_GB2312" w:cs="仿宋_GB2312"/>
          <w:sz w:val="32"/>
          <w:szCs w:val="32"/>
        </w:rPr>
        <w:sectPr w:rsidR="001259E3">
          <w:pgSz w:w="11906" w:h="16838"/>
          <w:pgMar w:top="1440" w:right="1800" w:bottom="1440" w:left="1800" w:header="851" w:footer="992" w:gutter="0"/>
          <w:cols w:space="425"/>
          <w:docGrid w:type="lines" w:linePitch="312"/>
        </w:sectPr>
      </w:pPr>
    </w:p>
    <w:p w:rsidR="001259E3" w:rsidRDefault="001259E3">
      <w:pPr>
        <w:pStyle w:val="PlainText"/>
        <w:ind w:firstLineChars="0" w:firstLine="0"/>
        <w:jc w:val="center"/>
        <w:outlineLvl w:val="1"/>
        <w:rPr>
          <w:rFonts w:ascii="宋体" w:cs="Courier"/>
          <w:b/>
          <w:kern w:val="0"/>
          <w:sz w:val="28"/>
          <w:szCs w:val="28"/>
        </w:rPr>
      </w:pPr>
      <w:r>
        <w:rPr>
          <w:rFonts w:ascii="宋体" w:hAnsi="宋体" w:cs="Courier" w:hint="eastAsia"/>
          <w:b/>
          <w:kern w:val="0"/>
          <w:sz w:val="28"/>
          <w:szCs w:val="28"/>
        </w:rPr>
        <w:t>主要论文专著目录（</w:t>
      </w:r>
      <w:r>
        <w:rPr>
          <w:rFonts w:ascii="宋体" w:hAnsi="宋体" w:cs="Courier"/>
          <w:b/>
          <w:kern w:val="0"/>
          <w:sz w:val="28"/>
          <w:szCs w:val="28"/>
        </w:rPr>
        <w:t>15</w:t>
      </w:r>
      <w:r>
        <w:rPr>
          <w:rFonts w:ascii="宋体" w:hAnsi="宋体" w:cs="Courier" w:hint="eastAsia"/>
          <w:b/>
          <w:kern w:val="0"/>
          <w:sz w:val="28"/>
          <w:szCs w:val="28"/>
        </w:rPr>
        <w:t>篇代表性论著）</w:t>
      </w:r>
    </w:p>
    <w:tbl>
      <w:tblPr>
        <w:tblpPr w:leftFromText="180" w:rightFromText="180" w:vertAnchor="text" w:horzAnchor="margin" w:tblpX="1" w:tblpY="270"/>
        <w:tblW w:w="14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645"/>
        <w:gridCol w:w="3852"/>
        <w:gridCol w:w="1717"/>
        <w:gridCol w:w="2533"/>
        <w:gridCol w:w="2330"/>
        <w:gridCol w:w="728"/>
        <w:gridCol w:w="889"/>
        <w:gridCol w:w="903"/>
        <w:gridCol w:w="1292"/>
      </w:tblGrid>
      <w:tr w:rsidR="001259E3" w:rsidRPr="0099132A">
        <w:trPr>
          <w:trHeight w:val="567"/>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序号</w:t>
            </w:r>
          </w:p>
        </w:tc>
        <w:tc>
          <w:tcPr>
            <w:tcW w:w="385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论文专著名称</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刊名</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作者</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年卷页码（</w:t>
            </w:r>
            <w:r>
              <w:rPr>
                <w:rFonts w:ascii="Times New Roman" w:eastAsia="楷体"/>
                <w:sz w:val="21"/>
                <w:szCs w:val="21"/>
              </w:rPr>
              <w:t>xx</w:t>
            </w:r>
            <w:r>
              <w:rPr>
                <w:rFonts w:ascii="Times New Roman" w:eastAsia="楷体" w:hint="eastAsia"/>
                <w:sz w:val="21"/>
                <w:szCs w:val="21"/>
              </w:rPr>
              <w:t>年</w:t>
            </w:r>
            <w:r>
              <w:rPr>
                <w:rFonts w:ascii="Times New Roman" w:eastAsia="楷体"/>
                <w:sz w:val="21"/>
                <w:szCs w:val="21"/>
              </w:rPr>
              <w:t>xx</w:t>
            </w:r>
            <w:r>
              <w:rPr>
                <w:rFonts w:ascii="Times New Roman" w:eastAsia="楷体" w:hint="eastAsia"/>
                <w:sz w:val="21"/>
                <w:szCs w:val="21"/>
              </w:rPr>
              <w:t>卷</w:t>
            </w:r>
            <w:r>
              <w:rPr>
                <w:rFonts w:ascii="Times New Roman" w:eastAsia="楷体"/>
                <w:sz w:val="21"/>
                <w:szCs w:val="21"/>
              </w:rPr>
              <w:t>xx</w:t>
            </w:r>
            <w:r>
              <w:rPr>
                <w:rFonts w:ascii="Times New Roman" w:eastAsia="楷体" w:hint="eastAsia"/>
                <w:sz w:val="21"/>
                <w:szCs w:val="21"/>
              </w:rPr>
              <w:t>页）</w:t>
            </w:r>
          </w:p>
        </w:tc>
        <w:tc>
          <w:tcPr>
            <w:tcW w:w="728"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发表时间</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通讯作者</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第一作者</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期刊性质</w:t>
            </w:r>
          </w:p>
        </w:tc>
      </w:tr>
      <w:tr w:rsidR="001259E3" w:rsidRPr="0099132A">
        <w:trPr>
          <w:trHeight w:hRule="exact" w:val="767"/>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何首乌不同炮制品对大鼠肝脏</w:t>
            </w:r>
            <w:r>
              <w:rPr>
                <w:rFonts w:ascii="Times New Roman" w:eastAsia="楷体"/>
                <w:color w:val="000000"/>
                <w:sz w:val="21"/>
                <w:szCs w:val="21"/>
                <w:shd w:val="clear" w:color="auto" w:fill="FFFFFF"/>
              </w:rPr>
              <w:t>CYP2E1</w:t>
            </w:r>
            <w:r>
              <w:rPr>
                <w:rFonts w:ascii="Times New Roman" w:eastAsia="楷体" w:hint="eastAsia"/>
                <w:color w:val="000000"/>
                <w:sz w:val="21"/>
                <w:szCs w:val="21"/>
                <w:shd w:val="clear" w:color="auto" w:fill="FFFFFF"/>
              </w:rPr>
              <w:t>基因</w:t>
            </w:r>
            <w:r>
              <w:rPr>
                <w:rFonts w:ascii="Times New Roman" w:eastAsia="楷体"/>
                <w:color w:val="000000"/>
                <w:sz w:val="21"/>
                <w:szCs w:val="21"/>
                <w:shd w:val="clear" w:color="auto" w:fill="FFFFFF"/>
              </w:rPr>
              <w:t>mRNA</w:t>
            </w:r>
            <w:r>
              <w:rPr>
                <w:rFonts w:ascii="Times New Roman" w:eastAsia="楷体" w:hint="eastAsia"/>
                <w:color w:val="000000"/>
                <w:sz w:val="21"/>
                <w:szCs w:val="21"/>
                <w:shd w:val="clear" w:color="auto" w:fill="FFFFFF"/>
              </w:rPr>
              <w:t>表达的影响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中国医院药学杂志</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卫培峰</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张敏</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焦晨莉</w:t>
            </w:r>
            <w:r>
              <w:rPr>
                <w:rFonts w:ascii="Times New Roman" w:eastAsia="楷体"/>
                <w:color w:val="000000"/>
                <w:sz w:val="21"/>
                <w:szCs w:val="21"/>
                <w:shd w:val="clear" w:color="auto" w:fill="FFFFFF"/>
              </w:rPr>
              <w:t>,</w:t>
            </w:r>
            <w:r>
              <w:rPr>
                <w:rFonts w:ascii="Times New Roman" w:eastAsia="楷体" w:hint="eastAsia"/>
                <w:color w:val="000000"/>
                <w:sz w:val="21"/>
                <w:szCs w:val="21"/>
                <w:shd w:val="clear" w:color="auto" w:fill="FFFFFF"/>
              </w:rPr>
              <w:t>等</w:t>
            </w:r>
          </w:p>
        </w:tc>
        <w:tc>
          <w:tcPr>
            <w:tcW w:w="2330"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color w:val="000000"/>
                <w:sz w:val="21"/>
                <w:szCs w:val="21"/>
                <w:shd w:val="clear" w:color="auto" w:fill="FFFFFF"/>
              </w:rPr>
              <w:t>2010,30(17):1445-1448.</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72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2</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制何首乌及大黄酚对小鼠肝细胞凋亡的影响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中国实验方剂学杂志</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卫培峰</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吴艳艳</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焦晨莉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2010, 16(14):172-173.</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71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3</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制首乌含药血清对</w:t>
            </w:r>
            <w:r>
              <w:rPr>
                <w:rFonts w:ascii="Times New Roman" w:eastAsia="楷体"/>
                <w:color w:val="000000"/>
                <w:sz w:val="21"/>
                <w:szCs w:val="21"/>
                <w:shd w:val="clear" w:color="auto" w:fill="FFFFFF"/>
              </w:rPr>
              <w:t>L02</w:t>
            </w:r>
            <w:r>
              <w:rPr>
                <w:rFonts w:ascii="Times New Roman" w:eastAsia="楷体" w:hint="eastAsia"/>
                <w:color w:val="000000"/>
                <w:sz w:val="21"/>
                <w:szCs w:val="21"/>
                <w:shd w:val="clear" w:color="auto" w:fill="FFFFFF"/>
              </w:rPr>
              <w:t>肝细胞增殖和凋亡的影响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中国医院药学杂志</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欧莉</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卫培峰</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彭成</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2015, 35(18):1634-1637</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2015</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欧莉</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69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4</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制首乌不同成分诱导肝细胞凋亡与肿瘤坏死因子</w:t>
            </w:r>
            <w:r>
              <w:rPr>
                <w:rFonts w:ascii="Times New Roman" w:eastAsia="楷体"/>
                <w:color w:val="000000"/>
                <w:sz w:val="21"/>
                <w:szCs w:val="21"/>
                <w:shd w:val="clear" w:color="auto" w:fill="FFFFFF"/>
              </w:rPr>
              <w:t>α</w:t>
            </w:r>
            <w:r>
              <w:rPr>
                <w:rFonts w:ascii="Times New Roman" w:eastAsia="楷体" w:hint="eastAsia"/>
                <w:color w:val="000000"/>
                <w:sz w:val="21"/>
                <w:szCs w:val="21"/>
                <w:shd w:val="clear" w:color="auto" w:fill="FFFFFF"/>
              </w:rPr>
              <w:t>的相关性研究</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四川中医</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卫培峰</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胡锡琴</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苗彦霞</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 xml:space="preserve"> 2009(10):47-48</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 xml:space="preserve"> 2009</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tc>
      </w:tr>
      <w:tr w:rsidR="001259E3" w:rsidRPr="0099132A">
        <w:trPr>
          <w:trHeight w:hRule="exact" w:val="657"/>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5</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何首乌所致不良反应概况</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陕西中医</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卫培峰</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胡锡琴</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严爱娟</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2004, 25(2):170-171</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2004</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卫培峰</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tc>
      </w:tr>
      <w:tr w:rsidR="001259E3" w:rsidRPr="0099132A">
        <w:trPr>
          <w:trHeight w:hRule="exact" w:val="66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6</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何首乌中鞣质对大鼠肝脏生化指标的影响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药物评价研究</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胡锡琴</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李娅琳</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王磊</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2010, 33(1):63-65</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中文核心</w:t>
            </w:r>
          </w:p>
        </w:tc>
      </w:tr>
      <w:tr w:rsidR="001259E3" w:rsidRPr="0099132A">
        <w:trPr>
          <w:trHeight w:hRule="exact" w:val="66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7</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二苯乙烯苷对大鼠骨密度与骨强度的影响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中医学报</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胡锡琴</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禚君</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刘冠中</w:t>
            </w:r>
            <w:r>
              <w:rPr>
                <w:rFonts w:ascii="Times New Roman" w:eastAsia="楷体"/>
                <w:color w:val="000000"/>
                <w:sz w:val="21"/>
                <w:szCs w:val="21"/>
                <w:shd w:val="clear" w:color="auto" w:fill="FFFFFF"/>
              </w:rPr>
              <w:t>,</w:t>
            </w:r>
            <w:r>
              <w:rPr>
                <w:rFonts w:ascii="Times New Roman" w:eastAsia="楷体" w:hint="eastAsia"/>
                <w:color w:val="000000"/>
                <w:sz w:val="21"/>
                <w:szCs w:val="21"/>
                <w:shd w:val="clear" w:color="auto" w:fill="FFFFFF"/>
              </w:rPr>
              <w:t>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2011, 26(6):696-698.</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2011</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中文核心</w:t>
            </w:r>
          </w:p>
        </w:tc>
      </w:tr>
      <w:tr w:rsidR="001259E3" w:rsidRPr="0099132A">
        <w:trPr>
          <w:trHeight w:hRule="exact" w:val="68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8</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何首乌中鞣质与二苯乙烯苷不同配比对大鼠肝功能指标的影响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上海中医药杂志</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胡锡琴</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李敏</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杨红莲</w:t>
            </w:r>
            <w:r>
              <w:rPr>
                <w:rFonts w:ascii="Times New Roman" w:eastAsia="楷体"/>
                <w:color w:val="000000"/>
                <w:sz w:val="21"/>
                <w:szCs w:val="21"/>
                <w:shd w:val="clear" w:color="auto" w:fill="FFFFFF"/>
              </w:rPr>
              <w:t>,</w:t>
            </w:r>
            <w:r>
              <w:rPr>
                <w:rFonts w:ascii="Times New Roman" w:eastAsia="楷体" w:hint="eastAsia"/>
                <w:color w:val="000000"/>
                <w:sz w:val="21"/>
                <w:szCs w:val="21"/>
                <w:shd w:val="clear" w:color="auto" w:fill="FFFFFF"/>
              </w:rPr>
              <w:t>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2011(4):56-59</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2011</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胡锡琴</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中文核心</w:t>
            </w:r>
          </w:p>
        </w:tc>
      </w:tr>
      <w:tr w:rsidR="001259E3" w:rsidRPr="0099132A">
        <w:trPr>
          <w:trHeight w:hRule="exact" w:val="70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9</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制首乌总多糖对骨髓抑制贫血小鼠脾脏促红细胞生成素受体和转录因子</w:t>
            </w:r>
            <w:r>
              <w:rPr>
                <w:rFonts w:ascii="Times New Roman" w:eastAsia="楷体"/>
                <w:color w:val="000000"/>
                <w:sz w:val="21"/>
                <w:szCs w:val="21"/>
                <w:shd w:val="clear" w:color="auto" w:fill="FFFFFF"/>
              </w:rPr>
              <w:t>GATA-1 mRNA</w:t>
            </w:r>
            <w:r>
              <w:rPr>
                <w:rFonts w:ascii="Times New Roman" w:eastAsia="楷体" w:hint="eastAsia"/>
                <w:color w:val="000000"/>
                <w:sz w:val="21"/>
                <w:szCs w:val="21"/>
                <w:shd w:val="clear" w:color="auto" w:fill="FFFFFF"/>
              </w:rPr>
              <w:t>表达的影响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中草药</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冯雪梅</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祝彼得</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吕艳</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2010, 41(1):93-96</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冯雪梅</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冯雪梅</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73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10</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hint="eastAsia"/>
                <w:color w:val="000000"/>
                <w:sz w:val="21"/>
                <w:szCs w:val="21"/>
                <w:shd w:val="clear" w:color="auto" w:fill="FFFFFF"/>
              </w:rPr>
              <w:t>制首乌总多糖对贫血小鼠造血祖细胞增殖的影响</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中草药</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冯雪梅</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吕艳</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祝彼得</w:t>
            </w:r>
            <w:r>
              <w:rPr>
                <w:rFonts w:ascii="Times New Roman" w:eastAsia="楷体"/>
                <w:color w:val="000000"/>
                <w:sz w:val="21"/>
                <w:szCs w:val="21"/>
                <w:shd w:val="clear" w:color="auto" w:fill="FFFFFF"/>
              </w:rPr>
              <w:t>,</w:t>
            </w:r>
            <w:r>
              <w:rPr>
                <w:rFonts w:ascii="Times New Roman" w:eastAsia="楷体" w:hint="eastAsia"/>
                <w:color w:val="000000"/>
                <w:sz w:val="21"/>
                <w:szCs w:val="21"/>
                <w:shd w:val="clear" w:color="auto" w:fill="FFFFFF"/>
              </w:rPr>
              <w:t>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2006, 37(11):1695-1697</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2006</w:t>
            </w:r>
          </w:p>
        </w:tc>
        <w:tc>
          <w:tcPr>
            <w:tcW w:w="889" w:type="dxa"/>
            <w:vAlign w:val="center"/>
          </w:tcPr>
          <w:p w:rsidR="001259E3" w:rsidRDefault="001259E3">
            <w:pPr>
              <w:pStyle w:val="PlainText"/>
              <w:adjustRightInd w:val="0"/>
              <w:spacing w:after="50" w:line="240" w:lineRule="auto"/>
              <w:ind w:firstLineChars="0" w:firstLine="0"/>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冯雪梅</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冯雪梅</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179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11</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color w:val="000000"/>
                <w:sz w:val="21"/>
                <w:szCs w:val="21"/>
                <w:shd w:val="clear" w:color="auto" w:fill="FFFFFF"/>
              </w:rPr>
              <w:t>Preliminary Correlation Between Warm Needling Treatment for Knee Osteoarthritis of Deficiency-Cold Syndrome and Metabolic Functional Genes and Pathways</w:t>
            </w:r>
          </w:p>
        </w:tc>
        <w:tc>
          <w:tcPr>
            <w:tcW w:w="1717"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color w:val="000000"/>
                <w:sz w:val="21"/>
                <w:szCs w:val="21"/>
                <w:shd w:val="clear" w:color="auto" w:fill="FFFFFF"/>
              </w:rPr>
              <w:t>Journal of Acupuncture &amp; Meridian Studies</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color w:val="000000"/>
                <w:sz w:val="21"/>
                <w:szCs w:val="21"/>
                <w:shd w:val="clear" w:color="auto" w:fill="FFFFFF"/>
              </w:rPr>
              <w:t>谭从娥，王建国，王米渠</w:t>
            </w:r>
            <w:r>
              <w:rPr>
                <w:rFonts w:ascii="Times New Roman" w:eastAsia="楷体"/>
                <w:color w:val="000000"/>
                <w:sz w:val="21"/>
                <w:szCs w:val="21"/>
                <w:shd w:val="clear" w:color="auto" w:fill="FFFFFF"/>
              </w:rPr>
              <w:t>.</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2010, 3(3):173-80</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谭从娥</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王米渠</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国际期刊</w:t>
            </w:r>
          </w:p>
        </w:tc>
      </w:tr>
      <w:tr w:rsidR="001259E3" w:rsidRPr="0099132A">
        <w:trPr>
          <w:trHeight w:hRule="exact" w:val="1397"/>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12</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sz w:val="21"/>
                <w:szCs w:val="21"/>
              </w:rPr>
            </w:pPr>
            <w:r>
              <w:rPr>
                <w:rFonts w:ascii="Times New Roman" w:eastAsia="楷体"/>
                <w:color w:val="000000"/>
                <w:sz w:val="21"/>
                <w:szCs w:val="21"/>
                <w:shd w:val="clear" w:color="auto" w:fill="FFFFFF"/>
              </w:rPr>
              <w:t>Bridging the gap between traditional Chinese medicine and systems biology: the connection of Cold Syndrome and NEI network</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 xml:space="preserve">Molecular Biosystemsa </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hint="eastAsia"/>
                <w:sz w:val="21"/>
                <w:szCs w:val="21"/>
              </w:rPr>
              <w:t>马涛，谭从娥，李绍等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color w:val="000000"/>
                <w:sz w:val="21"/>
                <w:szCs w:val="21"/>
                <w:shd w:val="clear" w:color="auto" w:fill="FFFFFF"/>
              </w:rPr>
              <w:t>2010, 6(4):613-9</w:t>
            </w:r>
          </w:p>
        </w:tc>
        <w:tc>
          <w:tcPr>
            <w:tcW w:w="728" w:type="dxa"/>
            <w:vAlign w:val="center"/>
          </w:tcPr>
          <w:p w:rsidR="001259E3" w:rsidRDefault="001259E3">
            <w:pPr>
              <w:jc w:val="center"/>
              <w:rPr>
                <w:rFonts w:ascii="Times New Roman" w:eastAsia="楷体" w:hAnsi="Times New Roman"/>
                <w:szCs w:val="21"/>
              </w:rPr>
            </w:pPr>
            <w:r>
              <w:rPr>
                <w:rFonts w:ascii="Times New Roman" w:eastAsia="楷体" w:hAnsi="Times New Roman"/>
                <w:color w:val="000000"/>
                <w:szCs w:val="21"/>
                <w:shd w:val="clear" w:color="auto" w:fill="FFFFFF"/>
              </w:rPr>
              <w:t>2010</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sz w:val="21"/>
                <w:szCs w:val="21"/>
              </w:rPr>
              <w:t>李绍</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谭从娥</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SCI</w:t>
            </w:r>
          </w:p>
        </w:tc>
      </w:tr>
      <w:tr w:rsidR="001259E3" w:rsidRPr="0099132A">
        <w:trPr>
          <w:trHeight w:hRule="exact" w:val="907"/>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13</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TANCong-e,</w:t>
            </w:r>
            <w:r>
              <w:rPr>
                <w:rFonts w:ascii="Times New Roman" w:eastAsia="楷体" w:hint="eastAsia"/>
                <w:color w:val="000000"/>
                <w:sz w:val="21"/>
                <w:szCs w:val="21"/>
                <w:shd w:val="clear" w:color="auto" w:fill="FFFFFF"/>
              </w:rPr>
              <w:t>等</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右归丸对肾阳虚证患者干预效应的差异表达基因功能网络分析</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中成药</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谭从娥</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王米渠</w:t>
            </w:r>
            <w:r>
              <w:rPr>
                <w:rFonts w:ascii="Times New Roman" w:eastAsia="楷体"/>
                <w:color w:val="000000"/>
                <w:sz w:val="21"/>
                <w:szCs w:val="21"/>
                <w:shd w:val="clear" w:color="auto" w:fill="FFFFFF"/>
              </w:rPr>
              <w:t>, TANCong-e,</w:t>
            </w:r>
            <w:r>
              <w:rPr>
                <w:rFonts w:ascii="Times New Roman" w:eastAsia="楷体" w:hint="eastAsia"/>
                <w:color w:val="000000"/>
                <w:sz w:val="21"/>
                <w:szCs w:val="21"/>
                <w:shd w:val="clear" w:color="auto" w:fill="FFFFFF"/>
              </w:rPr>
              <w:t>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2013, 35(9):1875-1879</w:t>
            </w:r>
          </w:p>
        </w:tc>
        <w:tc>
          <w:tcPr>
            <w:tcW w:w="728" w:type="dxa"/>
            <w:vAlign w:val="center"/>
          </w:tcPr>
          <w:p w:rsidR="001259E3" w:rsidRDefault="001259E3">
            <w:pPr>
              <w:jc w:val="center"/>
              <w:rPr>
                <w:rFonts w:ascii="Times New Roman" w:eastAsia="楷体" w:hAnsi="Times New Roman"/>
                <w:color w:val="000000"/>
                <w:szCs w:val="21"/>
                <w:shd w:val="clear" w:color="auto" w:fill="FFFFFF"/>
              </w:rPr>
            </w:pPr>
            <w:r>
              <w:rPr>
                <w:rFonts w:ascii="Times New Roman" w:eastAsia="楷体" w:hAnsi="Times New Roman"/>
                <w:color w:val="000000"/>
                <w:szCs w:val="21"/>
                <w:shd w:val="clear" w:color="auto" w:fill="FFFFFF"/>
              </w:rPr>
              <w:t>2013</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谭从娥</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谭从娥</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CSCD-C</w:t>
            </w:r>
          </w:p>
        </w:tc>
      </w:tr>
      <w:tr w:rsidR="001259E3" w:rsidRPr="0099132A">
        <w:trPr>
          <w:trHeight w:hRule="exact" w:val="75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14</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阴虚证五心烦热与</w:t>
            </w:r>
            <w:r>
              <w:rPr>
                <w:rFonts w:ascii="Times New Roman" w:eastAsia="楷体"/>
                <w:color w:val="000000"/>
                <w:sz w:val="21"/>
                <w:szCs w:val="21"/>
                <w:shd w:val="clear" w:color="auto" w:fill="FFFFFF"/>
              </w:rPr>
              <w:t>TNF-α IL-1β IL-6</w:t>
            </w:r>
            <w:r>
              <w:rPr>
                <w:rFonts w:ascii="Times New Roman" w:eastAsia="楷体" w:hint="eastAsia"/>
                <w:color w:val="000000"/>
                <w:sz w:val="21"/>
                <w:szCs w:val="21"/>
                <w:shd w:val="clear" w:color="auto" w:fill="FFFFFF"/>
              </w:rPr>
              <w:t>相关性的临床观察</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中华中医药学刊</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严惠芳</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马居里</w:t>
            </w:r>
            <w:r>
              <w:rPr>
                <w:rFonts w:ascii="Times New Roman" w:eastAsia="楷体"/>
                <w:color w:val="000000"/>
                <w:sz w:val="21"/>
                <w:szCs w:val="21"/>
                <w:shd w:val="clear" w:color="auto" w:fill="FFFFFF"/>
              </w:rPr>
              <w:t xml:space="preserve">, </w:t>
            </w:r>
            <w:r>
              <w:rPr>
                <w:rFonts w:ascii="Times New Roman" w:eastAsia="楷体" w:hint="eastAsia"/>
                <w:color w:val="000000"/>
                <w:sz w:val="21"/>
                <w:szCs w:val="21"/>
                <w:shd w:val="clear" w:color="auto" w:fill="FFFFFF"/>
              </w:rPr>
              <w:t>朱海慧</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2008, 26(2):293-295</w:t>
            </w:r>
          </w:p>
        </w:tc>
        <w:tc>
          <w:tcPr>
            <w:tcW w:w="728" w:type="dxa"/>
            <w:vAlign w:val="center"/>
          </w:tcPr>
          <w:p w:rsidR="001259E3" w:rsidRDefault="001259E3">
            <w:pPr>
              <w:jc w:val="center"/>
              <w:rPr>
                <w:rFonts w:ascii="Times New Roman" w:eastAsia="楷体" w:hAnsi="Times New Roman"/>
                <w:color w:val="000000"/>
                <w:szCs w:val="21"/>
                <w:shd w:val="clear" w:color="auto" w:fill="FFFFFF"/>
              </w:rPr>
            </w:pPr>
            <w:r>
              <w:rPr>
                <w:rFonts w:ascii="Times New Roman" w:eastAsia="楷体" w:hAnsi="Times New Roman"/>
                <w:color w:val="000000"/>
                <w:szCs w:val="21"/>
                <w:shd w:val="clear" w:color="auto" w:fill="FFFFFF"/>
              </w:rPr>
              <w:t>2008</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严惠芳</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严惠芳</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中文核心</w:t>
            </w:r>
          </w:p>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科技核心</w:t>
            </w:r>
          </w:p>
        </w:tc>
      </w:tr>
      <w:tr w:rsidR="001259E3" w:rsidRPr="0099132A">
        <w:trPr>
          <w:trHeight w:hRule="exact" w:val="1332"/>
        </w:trPr>
        <w:tc>
          <w:tcPr>
            <w:tcW w:w="645"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sz w:val="21"/>
                <w:szCs w:val="21"/>
              </w:rPr>
            </w:pPr>
            <w:r>
              <w:rPr>
                <w:rFonts w:ascii="Times New Roman" w:eastAsia="楷体"/>
                <w:sz w:val="21"/>
                <w:szCs w:val="21"/>
              </w:rPr>
              <w:t>15</w:t>
            </w:r>
          </w:p>
        </w:tc>
        <w:tc>
          <w:tcPr>
            <w:tcW w:w="3852" w:type="dxa"/>
            <w:vAlign w:val="center"/>
          </w:tcPr>
          <w:p w:rsidR="001259E3" w:rsidRDefault="001259E3">
            <w:pPr>
              <w:pStyle w:val="PlainText"/>
              <w:adjustRightInd w:val="0"/>
              <w:spacing w:after="50" w:line="240" w:lineRule="auto"/>
              <w:ind w:firstLineChars="0" w:firstLine="0"/>
              <w:outlineLvl w:val="1"/>
              <w:rPr>
                <w:rFonts w:ascii="Times New Roman" w:eastAsia="楷体"/>
                <w:color w:val="000000"/>
                <w:sz w:val="21"/>
                <w:szCs w:val="21"/>
                <w:shd w:val="clear" w:color="auto" w:fill="FFFFFF"/>
              </w:rPr>
            </w:pPr>
            <w:r>
              <w:rPr>
                <w:rFonts w:ascii="Arial" w:hAnsi="Arial" w:cs="Arial"/>
                <w:color w:val="000000"/>
                <w:sz w:val="19"/>
                <w:szCs w:val="19"/>
                <w:shd w:val="clear" w:color="auto" w:fill="FFFFFF"/>
              </w:rPr>
              <w:t>Protection by tetrahydroxystilbene glucoside against neurotoxicity induced by MPP+: the involvement of PI3K/Akt pathway activation</w:t>
            </w:r>
          </w:p>
        </w:tc>
        <w:tc>
          <w:tcPr>
            <w:tcW w:w="1717"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Arial" w:hAnsi="Arial" w:cs="Arial"/>
                <w:color w:val="000000"/>
                <w:sz w:val="19"/>
                <w:szCs w:val="19"/>
                <w:shd w:val="clear" w:color="auto" w:fill="FFFFFF"/>
              </w:rPr>
              <w:t>Toxicology Letters</w:t>
            </w:r>
          </w:p>
        </w:tc>
        <w:tc>
          <w:tcPr>
            <w:tcW w:w="253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秦榕，李小兵，陈建宗等</w:t>
            </w:r>
          </w:p>
        </w:tc>
        <w:tc>
          <w:tcPr>
            <w:tcW w:w="2330"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Arial" w:hAnsi="Arial" w:cs="Arial"/>
                <w:color w:val="000000"/>
                <w:sz w:val="19"/>
                <w:szCs w:val="19"/>
                <w:shd w:val="clear" w:color="auto" w:fill="FFFFFF"/>
              </w:rPr>
              <w:t>2011, 202(1):1-7</w:t>
            </w:r>
          </w:p>
        </w:tc>
        <w:tc>
          <w:tcPr>
            <w:tcW w:w="728" w:type="dxa"/>
            <w:vAlign w:val="center"/>
          </w:tcPr>
          <w:p w:rsidR="001259E3" w:rsidRDefault="001259E3">
            <w:pPr>
              <w:jc w:val="center"/>
              <w:rPr>
                <w:rFonts w:ascii="Times New Roman" w:eastAsia="楷体" w:hAnsi="Times New Roman"/>
                <w:color w:val="000000"/>
                <w:szCs w:val="21"/>
                <w:shd w:val="clear" w:color="auto" w:fill="FFFFFF"/>
              </w:rPr>
            </w:pPr>
            <w:r>
              <w:rPr>
                <w:rFonts w:ascii="Arial" w:hAnsi="Arial" w:cs="Arial"/>
                <w:color w:val="000000"/>
                <w:sz w:val="19"/>
                <w:szCs w:val="19"/>
                <w:shd w:val="clear" w:color="auto" w:fill="FFFFFF"/>
              </w:rPr>
              <w:t>2011</w:t>
            </w:r>
          </w:p>
        </w:tc>
        <w:tc>
          <w:tcPr>
            <w:tcW w:w="889"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陈建宗</w:t>
            </w:r>
          </w:p>
        </w:tc>
        <w:tc>
          <w:tcPr>
            <w:tcW w:w="903"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hint="eastAsia"/>
                <w:color w:val="000000"/>
                <w:sz w:val="21"/>
                <w:szCs w:val="21"/>
                <w:shd w:val="clear" w:color="auto" w:fill="FFFFFF"/>
              </w:rPr>
              <w:t>秦荣</w:t>
            </w:r>
          </w:p>
        </w:tc>
        <w:tc>
          <w:tcPr>
            <w:tcW w:w="1292" w:type="dxa"/>
            <w:vAlign w:val="center"/>
          </w:tcPr>
          <w:p w:rsidR="001259E3" w:rsidRDefault="001259E3">
            <w:pPr>
              <w:pStyle w:val="PlainText"/>
              <w:adjustRightInd w:val="0"/>
              <w:spacing w:after="50" w:line="240" w:lineRule="auto"/>
              <w:ind w:firstLineChars="0" w:firstLine="0"/>
              <w:jc w:val="center"/>
              <w:outlineLvl w:val="1"/>
              <w:rPr>
                <w:rFonts w:ascii="Times New Roman" w:eastAsia="楷体"/>
                <w:color w:val="000000"/>
                <w:sz w:val="21"/>
                <w:szCs w:val="21"/>
                <w:shd w:val="clear" w:color="auto" w:fill="FFFFFF"/>
              </w:rPr>
            </w:pPr>
            <w:r>
              <w:rPr>
                <w:rFonts w:ascii="Times New Roman" w:eastAsia="楷体"/>
                <w:color w:val="000000"/>
                <w:sz w:val="21"/>
                <w:szCs w:val="21"/>
                <w:shd w:val="clear" w:color="auto" w:fill="FFFFFF"/>
              </w:rPr>
              <w:t>SCI</w:t>
            </w:r>
          </w:p>
        </w:tc>
      </w:tr>
    </w:tbl>
    <w:p w:rsidR="001259E3" w:rsidRDefault="001259E3"/>
    <w:p w:rsidR="001259E3" w:rsidRDefault="001259E3"/>
    <w:sectPr w:rsidR="001259E3" w:rsidSect="00BA0EF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楷体">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A0"/>
    <w:rsid w:val="00021E7C"/>
    <w:rsid w:val="000A25AF"/>
    <w:rsid w:val="001259E3"/>
    <w:rsid w:val="001938A0"/>
    <w:rsid w:val="00205F09"/>
    <w:rsid w:val="00264021"/>
    <w:rsid w:val="00301B88"/>
    <w:rsid w:val="004168BC"/>
    <w:rsid w:val="0042325C"/>
    <w:rsid w:val="005743A1"/>
    <w:rsid w:val="005B41C6"/>
    <w:rsid w:val="005C7360"/>
    <w:rsid w:val="005D5732"/>
    <w:rsid w:val="0067692D"/>
    <w:rsid w:val="007C2DBA"/>
    <w:rsid w:val="0094635B"/>
    <w:rsid w:val="009569E9"/>
    <w:rsid w:val="0099132A"/>
    <w:rsid w:val="009D3365"/>
    <w:rsid w:val="009E73FC"/>
    <w:rsid w:val="00A4766D"/>
    <w:rsid w:val="00A56053"/>
    <w:rsid w:val="00AE3D4A"/>
    <w:rsid w:val="00B0063F"/>
    <w:rsid w:val="00B2399E"/>
    <w:rsid w:val="00B361E3"/>
    <w:rsid w:val="00B3635A"/>
    <w:rsid w:val="00BA0EF2"/>
    <w:rsid w:val="00C34959"/>
    <w:rsid w:val="00CC4838"/>
    <w:rsid w:val="00DF5562"/>
    <w:rsid w:val="00E8469F"/>
    <w:rsid w:val="00FB0453"/>
    <w:rsid w:val="04594ABA"/>
    <w:rsid w:val="0B302240"/>
    <w:rsid w:val="0DFF2E7C"/>
    <w:rsid w:val="0E8054B3"/>
    <w:rsid w:val="0FFB485B"/>
    <w:rsid w:val="1525664C"/>
    <w:rsid w:val="1CB5455B"/>
    <w:rsid w:val="28567527"/>
    <w:rsid w:val="2BBF10A9"/>
    <w:rsid w:val="37624574"/>
    <w:rsid w:val="39675A1B"/>
    <w:rsid w:val="3BBE3E2A"/>
    <w:rsid w:val="3C4C3682"/>
    <w:rsid w:val="424A138A"/>
    <w:rsid w:val="43954E0E"/>
    <w:rsid w:val="48872679"/>
    <w:rsid w:val="55790F34"/>
    <w:rsid w:val="55A7523A"/>
    <w:rsid w:val="58223ED5"/>
    <w:rsid w:val="5A6F7CCC"/>
    <w:rsid w:val="65923A77"/>
    <w:rsid w:val="68E403BD"/>
    <w:rsid w:val="6B681ADC"/>
    <w:rsid w:val="6C702898"/>
    <w:rsid w:val="6E002B1B"/>
    <w:rsid w:val="76BD34B8"/>
    <w:rsid w:val="773229AB"/>
    <w:rsid w:val="79187A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F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A0EF2"/>
    <w:pPr>
      <w:spacing w:line="360" w:lineRule="auto"/>
      <w:ind w:firstLineChars="200" w:firstLine="480"/>
    </w:pPr>
    <w:rPr>
      <w:rFonts w:ascii="仿宋_GB2312" w:hAnsi="Times New Roman"/>
      <w:sz w:val="24"/>
      <w:szCs w:val="24"/>
    </w:rPr>
  </w:style>
  <w:style w:type="character" w:customStyle="1" w:styleId="PlainTextChar">
    <w:name w:val="Plain Text Char"/>
    <w:basedOn w:val="DefaultParagraphFont"/>
    <w:link w:val="PlainText"/>
    <w:uiPriority w:val="99"/>
    <w:locked/>
    <w:rsid w:val="00BA0EF2"/>
    <w:rPr>
      <w:rFonts w:ascii="仿宋_GB2312" w:eastAsia="宋体" w:hAnsi="Times New Roman" w:cs="Times New Roman"/>
      <w:sz w:val="24"/>
      <w:szCs w:val="24"/>
    </w:rPr>
  </w:style>
  <w:style w:type="paragraph" w:styleId="Footer">
    <w:name w:val="footer"/>
    <w:basedOn w:val="Normal"/>
    <w:link w:val="FooterChar"/>
    <w:uiPriority w:val="99"/>
    <w:rsid w:val="00BA0E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A0EF2"/>
    <w:rPr>
      <w:rFonts w:cs="Times New Roman"/>
      <w:sz w:val="18"/>
      <w:szCs w:val="18"/>
    </w:rPr>
  </w:style>
  <w:style w:type="paragraph" w:styleId="Header">
    <w:name w:val="header"/>
    <w:basedOn w:val="Normal"/>
    <w:link w:val="HeaderChar"/>
    <w:uiPriority w:val="99"/>
    <w:rsid w:val="00BA0E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A0EF2"/>
    <w:rPr>
      <w:rFonts w:cs="Times New Roman"/>
      <w:sz w:val="18"/>
      <w:szCs w:val="18"/>
    </w:rPr>
  </w:style>
  <w:style w:type="character" w:styleId="Hyperlink">
    <w:name w:val="Hyperlink"/>
    <w:basedOn w:val="DefaultParagraphFont"/>
    <w:uiPriority w:val="99"/>
    <w:rsid w:val="00BA0E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443</Words>
  <Characters>2531</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王彩红</dc:creator>
  <cp:keywords/>
  <dc:description/>
  <cp:lastModifiedBy>torch</cp:lastModifiedBy>
  <cp:revision>17</cp:revision>
  <cp:lastPrinted>2016-11-29T06:35:00Z</cp:lastPrinted>
  <dcterms:created xsi:type="dcterms:W3CDTF">2014-03-04T01:52:00Z</dcterms:created>
  <dcterms:modified xsi:type="dcterms:W3CDTF">2016-11-29T06:37:00Z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