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jc w:val="left"/>
        <w:rPr>
          <w:sz w:val="24"/>
        </w:rPr>
      </w:pPr>
      <w:r>
        <w:rPr>
          <w:rFonts w:hint="eastAsia"/>
          <w:sz w:val="24"/>
        </w:rPr>
        <w:t>附件</w:t>
      </w:r>
      <w:r>
        <w:rPr>
          <w:sz w:val="24"/>
        </w:rPr>
        <w:t>1</w:t>
      </w:r>
    </w:p>
    <w:p>
      <w:pPr>
        <w:pStyle w:val="2"/>
        <w:adjustRightInd w:val="0"/>
        <w:snapToGrid w:val="0"/>
        <w:spacing w:line="240" w:lineRule="auto"/>
        <w:rPr>
          <w:sz w:val="24"/>
        </w:rPr>
      </w:pPr>
      <w:r>
        <w:rPr>
          <w:rFonts w:hint="eastAsia"/>
          <w:sz w:val="32"/>
          <w:szCs w:val="32"/>
        </w:rPr>
        <w:t>企业需求征集表</w:t>
      </w:r>
    </w:p>
    <w:tbl>
      <w:tblPr>
        <w:tblStyle w:val="9"/>
        <w:tblW w:w="8983" w:type="dxa"/>
        <w:tblInd w:w="18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9"/>
        <w:gridCol w:w="696"/>
        <w:gridCol w:w="183"/>
        <w:gridCol w:w="1632"/>
        <w:gridCol w:w="975"/>
        <w:gridCol w:w="970"/>
        <w:gridCol w:w="1199"/>
        <w:gridCol w:w="21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8983" w:type="dxa"/>
            <w:gridSpan w:val="8"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企业信息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1845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企业名称</w:t>
            </w:r>
          </w:p>
        </w:tc>
        <w:tc>
          <w:tcPr>
            <w:tcW w:w="3760" w:type="dxa"/>
            <w:gridSpan w:val="4"/>
            <w:tcBorders>
              <w:left w:val="nil"/>
            </w:tcBorders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rPr>
                <w:rFonts w:ascii="仿宋_GB2312" w:cs="仿宋_GB2312"/>
                <w:kern w:val="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宁陕荣庚生物科技有限公司</w:t>
            </w:r>
          </w:p>
        </w:tc>
        <w:tc>
          <w:tcPr>
            <w:tcW w:w="1199" w:type="dxa"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机构代码</w:t>
            </w:r>
          </w:p>
        </w:tc>
        <w:tc>
          <w:tcPr>
            <w:tcW w:w="2179" w:type="dxa"/>
            <w:tcBorders>
              <w:left w:val="nil"/>
            </w:tcBorders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仿宋_GB2312" w:cs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1845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区域选择</w:t>
            </w:r>
          </w:p>
        </w:tc>
        <w:tc>
          <w:tcPr>
            <w:tcW w:w="1815" w:type="dxa"/>
            <w:gridSpan w:val="2"/>
            <w:tcBorders>
              <w:left w:val="nil"/>
            </w:tcBorders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陕西安康赛区</w:t>
            </w:r>
          </w:p>
        </w:tc>
        <w:tc>
          <w:tcPr>
            <w:tcW w:w="975" w:type="dxa"/>
            <w:tcBorders>
              <w:left w:val="nil"/>
            </w:tcBorders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rPr>
                <w:rFonts w:asci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联系人</w:t>
            </w:r>
          </w:p>
        </w:tc>
        <w:tc>
          <w:tcPr>
            <w:tcW w:w="970" w:type="dxa"/>
            <w:tcBorders>
              <w:left w:val="nil"/>
            </w:tcBorders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rPr>
                <w:rFonts w:ascii="仿宋_GB2312" w:cs="仿宋_GB2312"/>
                <w:kern w:val="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邓庚</w:t>
            </w:r>
          </w:p>
        </w:tc>
        <w:tc>
          <w:tcPr>
            <w:tcW w:w="1199" w:type="dxa"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电话</w:t>
            </w:r>
          </w:p>
        </w:tc>
        <w:tc>
          <w:tcPr>
            <w:tcW w:w="2179" w:type="dxa"/>
            <w:tcBorders>
              <w:left w:val="nil"/>
            </w:tcBorders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仿宋_GB2312" w:cs="仿宋_GB2312"/>
                <w:kern w:val="0"/>
                <w:sz w:val="24"/>
              </w:rPr>
            </w:pPr>
            <w:r>
              <w:rPr>
                <w:rFonts w:ascii="宋体" w:hAnsi="宋体"/>
                <w:sz w:val="24"/>
              </w:rPr>
              <w:t>15319857658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1845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行业领域</w:t>
            </w:r>
          </w:p>
        </w:tc>
        <w:tc>
          <w:tcPr>
            <w:tcW w:w="3760" w:type="dxa"/>
            <w:gridSpan w:val="4"/>
            <w:tcBorders>
              <w:left w:val="nil"/>
            </w:tcBorders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仿宋_GB2312" w:cs="仿宋_GB2312"/>
                <w:kern w:val="0"/>
                <w:sz w:val="24"/>
              </w:rPr>
            </w:pPr>
            <w:r>
              <w:rPr>
                <w:rFonts w:hint="eastAsia"/>
                <w:sz w:val="24"/>
              </w:rPr>
              <w:t>农业</w:t>
            </w:r>
          </w:p>
        </w:tc>
        <w:tc>
          <w:tcPr>
            <w:tcW w:w="1199" w:type="dxa"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产业领域</w:t>
            </w:r>
          </w:p>
        </w:tc>
        <w:tc>
          <w:tcPr>
            <w:tcW w:w="2179" w:type="dxa"/>
            <w:tcBorders>
              <w:left w:val="nil"/>
            </w:tcBorders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仿宋_GB2312" w:cs="仿宋_GB2312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4"/>
              </w:rPr>
              <w:t>民营企业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845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经济规模</w:t>
            </w:r>
          </w:p>
        </w:tc>
        <w:tc>
          <w:tcPr>
            <w:tcW w:w="3760" w:type="dxa"/>
            <w:gridSpan w:val="4"/>
            <w:tcBorders>
              <w:left w:val="nil"/>
            </w:tcBorders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仿宋_GB2312" w:cs="仿宋_GB2312"/>
                <w:kern w:val="0"/>
                <w:sz w:val="24"/>
              </w:rPr>
            </w:pPr>
          </w:p>
        </w:tc>
        <w:tc>
          <w:tcPr>
            <w:tcW w:w="1199" w:type="dxa"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人员规模</w:t>
            </w:r>
          </w:p>
        </w:tc>
        <w:tc>
          <w:tcPr>
            <w:tcW w:w="2179" w:type="dxa"/>
            <w:tcBorders>
              <w:left w:val="nil"/>
            </w:tcBorders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仿宋_GB2312" w:cs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8983" w:type="dxa"/>
            <w:gridSpan w:val="8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需求信息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1149" w:type="dxa"/>
            <w:vMerge w:val="restart"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技术需求情况说明</w:t>
            </w:r>
          </w:p>
        </w:tc>
        <w:tc>
          <w:tcPr>
            <w:tcW w:w="879" w:type="dxa"/>
            <w:gridSpan w:val="2"/>
            <w:tcBorders>
              <w:left w:val="nil"/>
            </w:tcBorders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技术需</w:t>
            </w:r>
          </w:p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求类别</w:t>
            </w:r>
          </w:p>
        </w:tc>
        <w:tc>
          <w:tcPr>
            <w:tcW w:w="6955" w:type="dxa"/>
            <w:gridSpan w:val="5"/>
            <w:tcBorders>
              <w:left w:val="nil"/>
            </w:tcBorders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both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  <w:bookmarkStart w:id="0" w:name="_GoBack"/>
            <w:bookmarkEnd w:id="0"/>
            <w:r>
              <w:pict>
                <v:shape id="_x0000_s1026" o:spid="_x0000_s1026" o:spt="202" type="#_x0000_t202" style="position:absolute;left:0pt;margin-left:0.55pt;margin-top:-0.05pt;height:10.4pt;width:10.8pt;z-index:251659264;mso-width-relative:page;mso-height-relative:page;" filled="f" stroked="f" coordsize="21600,21600">
                  <v:path/>
                  <v:fill on="f" focussize="0,0"/>
                  <v:stroke on="f" weight="0.5pt" joinstyle="miter"/>
                  <v:imagedata o:title=""/>
                  <o:lock v:ext="edit"/>
                  <v:textbox inset="0mm,0mm,0mm,0mm">
                    <w:txbxContent>
                      <w:p>
                        <w:pPr>
                          <w:ind w:firstLine="0" w:firstLineChars="0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0D0D0D"/>
                            <w:sz w:val="18"/>
                            <w:szCs w:val="18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□技术研发（关键、核心技术）□产品研发（产品升级、新产品研发）</w:t>
            </w:r>
          </w:p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□技术改造（设备、研发生产条件）□技术配套（技术、产品等配套合作）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1149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left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9" w:type="dxa"/>
            <w:gridSpan w:val="2"/>
            <w:tcBorders>
              <w:left w:val="nil"/>
            </w:tcBorders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简述</w:t>
            </w:r>
          </w:p>
        </w:tc>
        <w:tc>
          <w:tcPr>
            <w:tcW w:w="6955" w:type="dxa"/>
            <w:gridSpan w:val="5"/>
            <w:tcBorders>
              <w:left w:val="nil"/>
            </w:tcBorders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林麝人工受精及饲养技术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</w:trPr>
        <w:tc>
          <w:tcPr>
            <w:tcW w:w="1149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left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9" w:type="dxa"/>
            <w:gridSpan w:val="2"/>
            <w:tcBorders>
              <w:left w:val="nil"/>
            </w:tcBorders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详述</w:t>
            </w:r>
          </w:p>
        </w:tc>
        <w:tc>
          <w:tcPr>
            <w:tcW w:w="6955" w:type="dxa"/>
            <w:gridSpan w:val="5"/>
            <w:tcBorders>
              <w:left w:val="nil"/>
            </w:tcBorders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林麝产业缺乏系统的理论指导。人工养麝虽然已有</w:t>
            </w:r>
            <w:r>
              <w:rPr>
                <w:rFonts w:ascii="宋体" w:hAnsi="宋体"/>
                <w:sz w:val="21"/>
                <w:szCs w:val="21"/>
              </w:rPr>
              <w:t>50</w:t>
            </w:r>
            <w:r>
              <w:rPr>
                <w:rFonts w:hint="eastAsia" w:ascii="宋体" w:hAnsi="宋体"/>
                <w:sz w:val="21"/>
                <w:szCs w:val="21"/>
              </w:rPr>
              <w:t>多年</w:t>
            </w:r>
            <w:r>
              <w:rPr>
                <w:rFonts w:ascii="宋体" w:eastAsia="宋体"/>
                <w:sz w:val="21"/>
                <w:szCs w:val="21"/>
              </w:rPr>
              <w:t>,</w:t>
            </w:r>
            <w:r>
              <w:rPr>
                <w:rFonts w:hint="eastAsia" w:ascii="宋体" w:hAnsi="宋体"/>
                <w:sz w:val="21"/>
                <w:szCs w:val="21"/>
              </w:rPr>
              <w:t>但有关林麝的生物学和生态学方面的研究尚少</w:t>
            </w:r>
            <w:r>
              <w:rPr>
                <w:rFonts w:ascii="宋体" w:eastAsia="宋体"/>
                <w:sz w:val="21"/>
                <w:szCs w:val="21"/>
              </w:rPr>
              <w:t>,</w:t>
            </w:r>
            <w:r>
              <w:rPr>
                <w:rFonts w:hint="eastAsia" w:ascii="宋体" w:hAnsi="宋体"/>
                <w:sz w:val="21"/>
                <w:szCs w:val="21"/>
              </w:rPr>
              <w:t>无全面系统的研究报道；饲养管理缺乏科学性，种群退化严重。饲料主要以青饲料为主，辅以精饲料</w:t>
            </w:r>
            <w:r>
              <w:rPr>
                <w:rFonts w:ascii="宋体" w:eastAsia="宋体"/>
                <w:sz w:val="21"/>
                <w:szCs w:val="21"/>
              </w:rPr>
              <w:t>,</w:t>
            </w:r>
            <w:r>
              <w:rPr>
                <w:rFonts w:hint="eastAsia" w:ascii="宋体" w:hAnsi="宋体"/>
                <w:sz w:val="21"/>
                <w:szCs w:val="21"/>
              </w:rPr>
              <w:t>缺乏专门为饲养林麝配置的饲料</w:t>
            </w:r>
            <w:r>
              <w:rPr>
                <w:rFonts w:ascii="宋体" w:eastAsia="宋体"/>
                <w:sz w:val="21"/>
                <w:szCs w:val="21"/>
              </w:rPr>
              <w:t>,</w:t>
            </w:r>
            <w:r>
              <w:rPr>
                <w:rFonts w:hint="eastAsia" w:ascii="宋体" w:hAnsi="宋体"/>
                <w:sz w:val="21"/>
                <w:szCs w:val="21"/>
              </w:rPr>
              <w:t>导致饲养林麝种群中的个体体质较弱</w:t>
            </w:r>
            <w:r>
              <w:rPr>
                <w:rFonts w:ascii="宋体" w:eastAsia="宋体"/>
                <w:sz w:val="21"/>
                <w:szCs w:val="21"/>
              </w:rPr>
              <w:t>,</w:t>
            </w:r>
            <w:r>
              <w:rPr>
                <w:rFonts w:hint="eastAsia" w:ascii="宋体" w:hAnsi="宋体"/>
                <w:sz w:val="21"/>
                <w:szCs w:val="21"/>
              </w:rPr>
              <w:t>死亡率高。一些个体诸如对林麝威胁较大的脓肿、肺炎等疾病</w:t>
            </w:r>
            <w:r>
              <w:rPr>
                <w:rFonts w:ascii="宋体" w:eastAsia="宋体"/>
                <w:sz w:val="21"/>
                <w:szCs w:val="21"/>
              </w:rPr>
              <w:t>,</w:t>
            </w:r>
            <w:r>
              <w:rPr>
                <w:rFonts w:hint="eastAsia" w:ascii="宋体" w:hAnsi="宋体"/>
                <w:sz w:val="21"/>
                <w:szCs w:val="21"/>
              </w:rPr>
              <w:t>得不到及时的预防和治疗</w:t>
            </w:r>
            <w:r>
              <w:rPr>
                <w:rFonts w:ascii="宋体" w:eastAsia="宋体"/>
                <w:sz w:val="21"/>
                <w:szCs w:val="21"/>
              </w:rPr>
              <w:t>,</w:t>
            </w:r>
            <w:r>
              <w:rPr>
                <w:rFonts w:hint="eastAsia" w:ascii="宋体" w:hAnsi="宋体"/>
                <w:sz w:val="21"/>
                <w:szCs w:val="21"/>
              </w:rPr>
              <w:t>常造成群体死亡。此外</w:t>
            </w:r>
            <w:r>
              <w:rPr>
                <w:rFonts w:ascii="宋体" w:eastAsia="宋体"/>
                <w:sz w:val="21"/>
                <w:szCs w:val="21"/>
              </w:rPr>
              <w:t>,</w:t>
            </w:r>
            <w:r>
              <w:rPr>
                <w:rFonts w:hint="eastAsia" w:ascii="宋体" w:hAnsi="宋体"/>
                <w:sz w:val="21"/>
                <w:szCs w:val="21"/>
              </w:rPr>
              <w:t>人工养麝由于种群数量少、调入种源比较困难</w:t>
            </w:r>
            <w:r>
              <w:rPr>
                <w:rFonts w:ascii="宋体" w:eastAsia="宋体"/>
                <w:sz w:val="21"/>
                <w:szCs w:val="21"/>
              </w:rPr>
              <w:t>,</w:t>
            </w:r>
            <w:r>
              <w:rPr>
                <w:rFonts w:hint="eastAsia" w:ascii="宋体" w:hAnsi="宋体"/>
                <w:sz w:val="21"/>
                <w:szCs w:val="21"/>
              </w:rPr>
              <w:t>长期的近亲繁殖</w:t>
            </w:r>
            <w:r>
              <w:rPr>
                <w:rFonts w:ascii="宋体" w:eastAsia="宋体"/>
                <w:sz w:val="21"/>
                <w:szCs w:val="21"/>
              </w:rPr>
              <w:t>,</w:t>
            </w:r>
            <w:r>
              <w:rPr>
                <w:rFonts w:hint="eastAsia" w:ascii="宋体" w:hAnsi="宋体"/>
                <w:sz w:val="21"/>
                <w:szCs w:val="21"/>
              </w:rPr>
              <w:t>导致品质退化严重</w:t>
            </w:r>
            <w:r>
              <w:rPr>
                <w:rFonts w:ascii="宋体" w:eastAsia="宋体"/>
                <w:sz w:val="21"/>
                <w:szCs w:val="21"/>
              </w:rPr>
              <w:t>,</w:t>
            </w:r>
            <w:r>
              <w:rPr>
                <w:rFonts w:hint="eastAsia" w:ascii="宋体" w:hAnsi="宋体"/>
                <w:sz w:val="21"/>
                <w:szCs w:val="21"/>
              </w:rPr>
              <w:t>使现存的种麝生产力下降</w:t>
            </w:r>
            <w:r>
              <w:rPr>
                <w:rFonts w:ascii="宋体" w:eastAsia="宋体"/>
                <w:sz w:val="21"/>
                <w:szCs w:val="21"/>
              </w:rPr>
              <w:t>,</w:t>
            </w:r>
            <w:r>
              <w:rPr>
                <w:rFonts w:hint="eastAsia" w:ascii="宋体" w:hAnsi="宋体"/>
                <w:sz w:val="21"/>
                <w:szCs w:val="21"/>
              </w:rPr>
              <w:t>直接影响人工养麝的规模化发展。加强对林麝养殖产业化的重点技术攻关</w:t>
            </w:r>
            <w:r>
              <w:rPr>
                <w:rFonts w:ascii="宋体" w:eastAsia="宋体"/>
                <w:sz w:val="21"/>
                <w:szCs w:val="21"/>
              </w:rPr>
              <w:t>,</w:t>
            </w:r>
            <w:r>
              <w:rPr>
                <w:rFonts w:hint="eastAsia" w:ascii="宋体" w:hAnsi="宋体"/>
                <w:sz w:val="21"/>
                <w:szCs w:val="21"/>
              </w:rPr>
              <w:t>包括</w:t>
            </w:r>
            <w:r>
              <w:rPr>
                <w:rFonts w:ascii="宋体" w:hAnsi="宋体"/>
                <w:sz w:val="21"/>
                <w:szCs w:val="21"/>
              </w:rPr>
              <w:t>:</w:t>
            </w:r>
            <w:r>
              <w:rPr>
                <w:rFonts w:hint="eastAsia" w:ascii="宋体" w:hAnsi="宋体"/>
                <w:sz w:val="21"/>
                <w:szCs w:val="21"/>
              </w:rPr>
              <w:t>林麝养殖营养需求、繁殖育种、疾病防治、提高麝香产量及对林麝养殖技术标准操作规程的研究等。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8" w:hRule="atLeast"/>
        </w:trPr>
        <w:tc>
          <w:tcPr>
            <w:tcW w:w="1149" w:type="dxa"/>
            <w:vMerge w:val="continue"/>
            <w:tcBorders>
              <w:top w:val="nil"/>
            </w:tcBorders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left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9" w:type="dxa"/>
            <w:gridSpan w:val="2"/>
            <w:tcBorders>
              <w:top w:val="nil"/>
              <w:left w:val="nil"/>
            </w:tcBorders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现有</w:t>
            </w:r>
          </w:p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基础</w:t>
            </w:r>
          </w:p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情况</w:t>
            </w:r>
          </w:p>
        </w:tc>
        <w:tc>
          <w:tcPr>
            <w:tcW w:w="6955" w:type="dxa"/>
            <w:gridSpan w:val="5"/>
            <w:tcBorders>
              <w:left w:val="nil"/>
            </w:tcBorders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rPr>
                <w:rFonts w:asci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宁陕荣庚生物科技有限公司成立于</w:t>
            </w:r>
            <w:r>
              <w:rPr>
                <w:rFonts w:ascii="宋体" w:hAnsi="宋体"/>
                <w:color w:val="000000"/>
                <w:sz w:val="21"/>
                <w:szCs w:val="21"/>
              </w:rPr>
              <w:t>2016</w:t>
            </w: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年</w:t>
            </w:r>
            <w:r>
              <w:rPr>
                <w:rFonts w:ascii="宋体" w:hAnsi="宋体"/>
                <w:color w:val="000000"/>
                <w:sz w:val="21"/>
                <w:szCs w:val="21"/>
              </w:rPr>
              <w:t>2</w:t>
            </w:r>
            <w:r>
              <w:rPr>
                <w:rFonts w:hint="eastAsia" w:ascii="宋体" w:hAnsi="宋体"/>
                <w:color w:val="000000"/>
                <w:sz w:val="21"/>
                <w:szCs w:val="21"/>
              </w:rPr>
              <w:t>月（原宁陕县民发养殖专业合作社基础上）</w:t>
            </w:r>
            <w:r>
              <w:rPr>
                <w:rFonts w:ascii="宋体" w:hAnsi="宋体"/>
                <w:color w:val="000000"/>
                <w:sz w:val="21"/>
                <w:szCs w:val="21"/>
              </w:rPr>
              <w:t xml:space="preserve">, </w:t>
            </w:r>
            <w:r>
              <w:rPr>
                <w:rFonts w:hint="eastAsia" w:ascii="宋体" w:hAnsi="宋体"/>
                <w:color w:val="000000"/>
                <w:sz w:val="21"/>
                <w:szCs w:val="21"/>
              </w:rPr>
              <w:t>注册资金</w:t>
            </w:r>
            <w:r>
              <w:rPr>
                <w:rFonts w:ascii="宋体" w:hAnsi="宋体"/>
                <w:color w:val="000000"/>
                <w:sz w:val="21"/>
                <w:szCs w:val="21"/>
              </w:rPr>
              <w:t>1000</w:t>
            </w:r>
            <w:r>
              <w:rPr>
                <w:rFonts w:hint="eastAsia" w:ascii="宋体" w:hAnsi="宋体"/>
                <w:color w:val="000000"/>
                <w:sz w:val="21"/>
                <w:szCs w:val="21"/>
              </w:rPr>
              <w:t>万元</w:t>
            </w:r>
            <w:r>
              <w:rPr>
                <w:rFonts w:ascii="宋体" w:eastAsia="宋体"/>
                <w:color w:val="000000"/>
                <w:sz w:val="21"/>
                <w:szCs w:val="21"/>
              </w:rPr>
              <w:t>,</w:t>
            </w:r>
            <w:r>
              <w:rPr>
                <w:rFonts w:hint="eastAsia" w:ascii="宋体" w:hAnsi="宋体"/>
                <w:color w:val="000000"/>
                <w:sz w:val="21"/>
                <w:szCs w:val="21"/>
              </w:rPr>
              <w:t>法人代表邓庚</w:t>
            </w:r>
            <w:r>
              <w:rPr>
                <w:rFonts w:ascii="宋体" w:hAnsi="宋体"/>
                <w:color w:val="000000"/>
                <w:sz w:val="21"/>
                <w:szCs w:val="21"/>
              </w:rPr>
              <w:t>(</w:t>
            </w:r>
            <w:r>
              <w:rPr>
                <w:rFonts w:hint="eastAsia" w:ascii="宋体" w:hAnsi="宋体"/>
                <w:color w:val="000000"/>
                <w:sz w:val="21"/>
                <w:szCs w:val="21"/>
              </w:rPr>
              <w:t>陕西省劳动模范</w:t>
            </w:r>
            <w:r>
              <w:rPr>
                <w:rFonts w:ascii="宋体" w:hAnsi="宋体"/>
                <w:color w:val="000000"/>
                <w:sz w:val="21"/>
                <w:szCs w:val="21"/>
              </w:rPr>
              <w:t>),</w:t>
            </w: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办公所在地位于宁陕县四亩地镇</w:t>
            </w:r>
            <w:r>
              <w:rPr>
                <w:rFonts w:ascii="宋体" w:eastAsia="宋体"/>
                <w:color w:val="000000"/>
                <w:sz w:val="21"/>
                <w:szCs w:val="21"/>
              </w:rPr>
              <w:t>,</w:t>
            </w:r>
            <w:r>
              <w:rPr>
                <w:rFonts w:hint="eastAsia" w:ascii="宋体" w:hAnsi="宋体"/>
                <w:color w:val="000000"/>
                <w:sz w:val="21"/>
                <w:szCs w:val="21"/>
              </w:rPr>
              <w:t>是一家以林麝、水产养殖、销售；中药材、农副产品种植、收购、销售；生态农业观光旅游；农业综合开发咨询、服务的综合型公司。公司下设一家林麝研究所</w:t>
            </w:r>
            <w:r>
              <w:rPr>
                <w:rFonts w:ascii="宋体" w:eastAsia="宋体"/>
                <w:color w:val="000000"/>
                <w:sz w:val="21"/>
                <w:szCs w:val="21"/>
              </w:rPr>
              <w:t>,</w:t>
            </w:r>
            <w:r>
              <w:rPr>
                <w:rFonts w:hint="eastAsia" w:ascii="宋体" w:hAnsi="宋体"/>
                <w:color w:val="000000"/>
                <w:sz w:val="21"/>
                <w:szCs w:val="21"/>
              </w:rPr>
              <w:t>一个农民专业合作社</w:t>
            </w:r>
            <w:r>
              <w:rPr>
                <w:rFonts w:ascii="宋体" w:eastAsia="宋体"/>
                <w:color w:val="000000"/>
                <w:sz w:val="21"/>
                <w:szCs w:val="21"/>
              </w:rPr>
              <w:t>,</w:t>
            </w:r>
            <w:r>
              <w:rPr>
                <w:rFonts w:hint="eastAsia" w:ascii="宋体" w:hAnsi="宋体"/>
                <w:color w:val="000000"/>
                <w:sz w:val="21"/>
                <w:szCs w:val="21"/>
              </w:rPr>
              <w:t>一个现代山林经济示范园区。现有职工</w:t>
            </w:r>
            <w:r>
              <w:rPr>
                <w:rFonts w:ascii="宋体" w:hAnsi="宋体"/>
                <w:color w:val="000000"/>
                <w:sz w:val="21"/>
                <w:szCs w:val="21"/>
              </w:rPr>
              <w:t>12</w:t>
            </w: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名</w:t>
            </w:r>
            <w:r>
              <w:rPr>
                <w:rFonts w:ascii="宋体" w:eastAsia="宋体"/>
                <w:color w:val="000000"/>
                <w:sz w:val="21"/>
                <w:szCs w:val="21"/>
              </w:rPr>
              <w:t>,</w:t>
            </w: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季节性农民工</w:t>
            </w:r>
            <w:r>
              <w:rPr>
                <w:rFonts w:ascii="宋体" w:hAnsi="宋体"/>
                <w:color w:val="000000"/>
                <w:sz w:val="21"/>
                <w:szCs w:val="21"/>
              </w:rPr>
              <w:t>100</w:t>
            </w:r>
            <w:r>
              <w:rPr>
                <w:rFonts w:hint="eastAsia" w:ascii="宋体" w:hAnsi="宋体"/>
                <w:color w:val="000000"/>
                <w:sz w:val="21"/>
                <w:szCs w:val="21"/>
              </w:rPr>
              <w:t>余名。</w:t>
            </w:r>
          </w:p>
          <w:p>
            <w:pPr>
              <w:spacing w:line="320" w:lineRule="exact"/>
              <w:ind w:firstLine="31680"/>
              <w:rPr>
                <w:rFonts w:asci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现公司建有林麝圈舍</w:t>
            </w:r>
            <w:r>
              <w:rPr>
                <w:rFonts w:ascii="宋体" w:hAnsi="宋体"/>
                <w:sz w:val="21"/>
                <w:szCs w:val="21"/>
              </w:rPr>
              <w:t>500</w:t>
            </w:r>
            <w:r>
              <w:rPr>
                <w:rFonts w:hint="eastAsia" w:ascii="宋体" w:hAnsi="宋体"/>
                <w:sz w:val="21"/>
                <w:szCs w:val="21"/>
              </w:rPr>
              <w:t>㎡、养殖林麝</w:t>
            </w:r>
            <w:r>
              <w:rPr>
                <w:rFonts w:ascii="宋体" w:hAnsi="宋体"/>
                <w:sz w:val="21"/>
                <w:szCs w:val="21"/>
              </w:rPr>
              <w:t>60</w:t>
            </w:r>
            <w:r>
              <w:rPr>
                <w:rFonts w:hint="eastAsia" w:ascii="宋体" w:hAnsi="宋体"/>
                <w:sz w:val="21"/>
                <w:szCs w:val="21"/>
              </w:rPr>
              <w:t>只，建有</w:t>
            </w:r>
            <w:r>
              <w:rPr>
                <w:rFonts w:ascii="宋体" w:hAnsi="宋体"/>
                <w:sz w:val="21"/>
                <w:szCs w:val="21"/>
              </w:rPr>
              <w:t>60</w:t>
            </w:r>
            <w:r>
              <w:rPr>
                <w:rFonts w:hint="eastAsia" w:ascii="宋体" w:hAnsi="宋体" w:cs="宋体"/>
                <w:sz w:val="21"/>
                <w:szCs w:val="21"/>
              </w:rPr>
              <w:t>㎡试验室，</w:t>
            </w:r>
            <w:r>
              <w:rPr>
                <w:rFonts w:ascii="宋体" w:hAnsi="宋体" w:cs="宋体"/>
                <w:sz w:val="21"/>
                <w:szCs w:val="21"/>
              </w:rPr>
              <w:t>70</w:t>
            </w:r>
            <w:r>
              <w:rPr>
                <w:rFonts w:hint="eastAsia" w:ascii="宋体" w:hAnsi="宋体" w:cs="宋体"/>
                <w:sz w:val="21"/>
                <w:szCs w:val="21"/>
              </w:rPr>
              <w:t>㎡专家公寓。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1149" w:type="dxa"/>
            <w:vMerge w:val="restart"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产学研合作需求</w:t>
            </w:r>
          </w:p>
        </w:tc>
        <w:tc>
          <w:tcPr>
            <w:tcW w:w="879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需求</w:t>
            </w:r>
          </w:p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描述</w:t>
            </w:r>
          </w:p>
        </w:tc>
        <w:tc>
          <w:tcPr>
            <w:tcW w:w="6955" w:type="dxa"/>
            <w:gridSpan w:val="5"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希望和西北农林科技大学开展合作进行繁殖、养殖、疫病防治技术攻关，并共同建立林麝工程技术研发中心。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149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left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9" w:type="dxa"/>
            <w:gridSpan w:val="2"/>
            <w:tcBorders>
              <w:left w:val="nil"/>
            </w:tcBorders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合作</w:t>
            </w:r>
          </w:p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方式</w:t>
            </w:r>
          </w:p>
        </w:tc>
        <w:tc>
          <w:tcPr>
            <w:tcW w:w="6955" w:type="dxa"/>
            <w:gridSpan w:val="5"/>
            <w:tcBorders>
              <w:left w:val="nil"/>
            </w:tcBorders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  <w:r>
              <w:pict>
                <v:shape id="_x0000_s1027" o:spid="_x0000_s1027" o:spt="202" type="#_x0000_t202" style="position:absolute;left:0pt;margin-left:172.5pt;margin-top:8.2pt;height:21.8pt;width:21.85pt;z-index:251658240;mso-width-relative:page;mso-height-relative:page;" filled="f" stroked="f" coordsize="21600,21600">
                  <v:path/>
                  <v:fill on="f" focussize="0,0"/>
                  <v:stroke on="f" weight="0.5pt" joinstyle="miter"/>
                  <v:imagedata o:title=""/>
                  <o:lock v:ext="edit"/>
                  <v:textbox>
                    <w:txbxContent>
                      <w:p>
                        <w:pPr>
                          <w:ind w:firstLine="0" w:firstLineChars="0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0D0D0D"/>
                            <w:sz w:val="18"/>
                            <w:szCs w:val="18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□技术转让□技术入股□联合开发□委托研发</w:t>
            </w:r>
          </w:p>
          <w:p>
            <w:pPr>
              <w:widowControl/>
              <w:adjustRightInd w:val="0"/>
              <w:snapToGrid w:val="0"/>
              <w:ind w:firstLine="0" w:firstLineChars="0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  <w:r>
              <w:pict>
                <v:shape id="_x0000_s1028" o:spid="_x0000_s1028" o:spt="202" type="#_x0000_t202" style="position:absolute;left:0pt;margin-left:165pt;margin-top:13.6pt;height:21.8pt;width:21.85pt;z-index:251657216;mso-width-relative:page;mso-height-relative:page;" filled="f" stroked="f" coordsize="21600,21600">
                  <v:path/>
                  <v:fill on="f" focussize="0,0"/>
                  <v:stroke on="f" weight="0.5pt" joinstyle="miter"/>
                  <v:imagedata o:title=""/>
                  <o:lock v:ext="edit"/>
                  <v:textbox>
                    <w:txbxContent>
                      <w:p>
                        <w:pPr>
                          <w:ind w:firstLine="0" w:firstLineChars="0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0D0D0D"/>
                            <w:sz w:val="18"/>
                            <w:szCs w:val="18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□委托团队、专家长期技术服务□共建新研发、生产实体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149" w:type="dxa"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其他需求</w:t>
            </w:r>
          </w:p>
        </w:tc>
        <w:tc>
          <w:tcPr>
            <w:tcW w:w="7834" w:type="dxa"/>
            <w:gridSpan w:val="7"/>
            <w:tcBorders>
              <w:left w:val="nil"/>
            </w:tcBorders>
            <w:vAlign w:val="center"/>
          </w:tcPr>
          <w:p>
            <w:pPr>
              <w:pStyle w:val="12"/>
              <w:widowControl/>
              <w:adjustRightInd w:val="0"/>
              <w:snapToGrid w:val="0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□技术转移□研发费用加计扣除□知识产权□科技金融□检验检测</w:t>
            </w:r>
          </w:p>
          <w:p>
            <w:pPr>
              <w:pStyle w:val="12"/>
              <w:widowControl/>
              <w:adjustRightInd w:val="0"/>
              <w:snapToGrid w:val="0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□质量体系□行业政策□科技政策□招标采购□产品</w:t>
            </w:r>
            <w:r>
              <w:rPr>
                <w:rFonts w:ascii="宋体" w:hAnsi="宋体" w:eastAsia="宋体" w:cs="宋体"/>
                <w:sz w:val="21"/>
                <w:szCs w:val="21"/>
              </w:rPr>
              <w:t>/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服务市场占有率分析</w:t>
            </w:r>
          </w:p>
          <w:p>
            <w:pPr>
              <w:pStyle w:val="12"/>
              <w:widowControl/>
              <w:adjustRightInd w:val="0"/>
              <w:snapToGrid w:val="0"/>
              <w:ind w:firstLine="0" w:firstLineChars="0"/>
              <w:jc w:val="left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□市场前景分析□企业发展战略咨询□其他</w:t>
            </w:r>
            <w:r>
              <w:pict>
                <v:shape id="_x0000_s1029" o:spid="_x0000_s1029" o:spt="202" type="#_x0000_t202" style="position:absolute;left:0pt;margin-left:43pt;margin-top:55.85pt;height:21.8pt;width:21.85pt;z-index:251658240;mso-width-relative:page;mso-height-relative:page;" filled="f" stroked="f" coordsize="21600,21600">
                  <v:path/>
                  <v:fill on="f" focussize="0,0"/>
                  <v:stroke on="f" weight="0.5pt" joinstyle="miter"/>
                  <v:imagedata o:title=""/>
                  <o:lock v:ext="edit"/>
                  <v:textbox>
                    <w:txbxContent>
                      <w:p>
                        <w:pPr>
                          <w:ind w:firstLine="0" w:firstLineChars="0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0D0D0D"/>
                            <w:sz w:val="18"/>
                            <w:szCs w:val="18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83" w:type="dxa"/>
            <w:gridSpan w:val="8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  <w:u w:val="single"/>
              </w:rPr>
            </w:pPr>
            <w:r>
              <w:pict>
                <v:shape id="_x0000_s1030" o:spid="_x0000_s1030" o:spt="202" type="#_x0000_t202" style="position:absolute;left:0pt;margin-left:99.85pt;margin-top:9.8pt;height:21.8pt;width:21.85pt;z-index:251656192;mso-width-relative:page;mso-height-relative:page;" filled="f" stroked="f" coordsize="21600,21600">
                  <v:path/>
                  <v:fill on="f" focussize="0,0"/>
                  <v:stroke on="f" weight="0.5pt" joinstyle="miter"/>
                  <v:imagedata o:title=""/>
                  <o:lock v:ext="edit"/>
                  <v:textbox>
                    <w:txbxContent>
                      <w:p>
                        <w:pPr>
                          <w:ind w:firstLine="0" w:firstLineChars="0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0D0D0D"/>
                            <w:sz w:val="18"/>
                            <w:szCs w:val="18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管理信息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2028" w:type="dxa"/>
            <w:gridSpan w:val="3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同意公开</w:t>
            </w:r>
          </w:p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需求信息</w:t>
            </w:r>
          </w:p>
        </w:tc>
        <w:tc>
          <w:tcPr>
            <w:tcW w:w="6955" w:type="dxa"/>
            <w:gridSpan w:val="5"/>
          </w:tcPr>
          <w:p>
            <w:pPr>
              <w:widowControl/>
              <w:adjustRightInd w:val="0"/>
              <w:snapToGrid w:val="0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是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□否</w:t>
            </w:r>
          </w:p>
          <w:p>
            <w:pPr>
              <w:widowControl/>
              <w:adjustRightInd w:val="0"/>
              <w:snapToGrid w:val="0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  <w:u w:val="singl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部分公开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(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说明）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28" w:type="dxa"/>
            <w:gridSpan w:val="3"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同意参与对解决方案的筛选评价</w:t>
            </w:r>
          </w:p>
        </w:tc>
        <w:tc>
          <w:tcPr>
            <w:tcW w:w="6955" w:type="dxa"/>
            <w:gridSpan w:val="5"/>
          </w:tcPr>
          <w:p>
            <w:pPr>
              <w:widowControl/>
              <w:adjustRightInd w:val="0"/>
              <w:snapToGrid w:val="0"/>
              <w:ind w:firstLine="0" w:firstLineChars="0"/>
              <w:jc w:val="left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是</w:t>
            </w:r>
          </w:p>
          <w:p>
            <w:pPr>
              <w:widowControl/>
              <w:adjustRightInd w:val="0"/>
              <w:snapToGrid w:val="0"/>
              <w:ind w:firstLine="0" w:firstLineChars="0"/>
              <w:jc w:val="left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</w:trPr>
        <w:tc>
          <w:tcPr>
            <w:tcW w:w="2028" w:type="dxa"/>
            <w:gridSpan w:val="3"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同意对优秀解决方案给予奖励</w:t>
            </w:r>
          </w:p>
        </w:tc>
        <w:tc>
          <w:tcPr>
            <w:tcW w:w="6955" w:type="dxa"/>
            <w:gridSpan w:val="5"/>
          </w:tcPr>
          <w:p>
            <w:pPr>
              <w:widowControl/>
              <w:adjustRightInd w:val="0"/>
              <w:snapToGrid w:val="0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是，金额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万元。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（奖金仅用作奖励现场参赛者，不作为技术转让、技术许可或其他独占性合作的前提条件）</w:t>
            </w:r>
          </w:p>
          <w:p>
            <w:pPr>
              <w:widowControl/>
              <w:adjustRightInd w:val="0"/>
              <w:snapToGrid w:val="0"/>
              <w:ind w:firstLine="0" w:firstLineChars="0"/>
              <w:jc w:val="left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否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法人代表：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 xml:space="preserve">         2016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年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月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 xml:space="preserve">  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日</w:t>
            </w:r>
          </w:p>
        </w:tc>
      </w:tr>
    </w:tbl>
    <w:p>
      <w:pPr>
        <w:ind w:firstLine="0" w:firstLineChars="0"/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134" w:right="1417" w:bottom="1134" w:left="141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16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168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168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  <w:ind w:firstLine="3168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168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168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8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22494221"/>
    <w:rsid w:val="00010B63"/>
    <w:rsid w:val="0009532F"/>
    <w:rsid w:val="00281F81"/>
    <w:rsid w:val="00370951"/>
    <w:rsid w:val="00594CF5"/>
    <w:rsid w:val="005B0965"/>
    <w:rsid w:val="005D20A6"/>
    <w:rsid w:val="00B027F4"/>
    <w:rsid w:val="00B42B52"/>
    <w:rsid w:val="00D07496"/>
    <w:rsid w:val="00DA36D1"/>
    <w:rsid w:val="00DE2DAD"/>
    <w:rsid w:val="00E524DB"/>
    <w:rsid w:val="00E92DC9"/>
    <w:rsid w:val="00F23877"/>
    <w:rsid w:val="02075B9F"/>
    <w:rsid w:val="03102DA6"/>
    <w:rsid w:val="04AD1D69"/>
    <w:rsid w:val="06C3240A"/>
    <w:rsid w:val="0B0923CC"/>
    <w:rsid w:val="0D121AAF"/>
    <w:rsid w:val="0EC80BB5"/>
    <w:rsid w:val="0F2D52FA"/>
    <w:rsid w:val="0F551A5E"/>
    <w:rsid w:val="13DE1CAF"/>
    <w:rsid w:val="14A526E2"/>
    <w:rsid w:val="159F0ED2"/>
    <w:rsid w:val="17FD0FCD"/>
    <w:rsid w:val="190E27D9"/>
    <w:rsid w:val="194F1101"/>
    <w:rsid w:val="209332EF"/>
    <w:rsid w:val="2249080D"/>
    <w:rsid w:val="22494221"/>
    <w:rsid w:val="26745866"/>
    <w:rsid w:val="26F70B60"/>
    <w:rsid w:val="279144DA"/>
    <w:rsid w:val="2A1467D5"/>
    <w:rsid w:val="2B1D7B24"/>
    <w:rsid w:val="2CB86406"/>
    <w:rsid w:val="2CE94EAA"/>
    <w:rsid w:val="32771F82"/>
    <w:rsid w:val="3B2C4399"/>
    <w:rsid w:val="3C247A7D"/>
    <w:rsid w:val="3E3074C7"/>
    <w:rsid w:val="3E383C0A"/>
    <w:rsid w:val="3F6F77F8"/>
    <w:rsid w:val="40804EF6"/>
    <w:rsid w:val="41A430F9"/>
    <w:rsid w:val="46342D04"/>
    <w:rsid w:val="4A2E13D0"/>
    <w:rsid w:val="56CC51B8"/>
    <w:rsid w:val="56DC28EF"/>
    <w:rsid w:val="57D73BE7"/>
    <w:rsid w:val="587D0352"/>
    <w:rsid w:val="5BB06E24"/>
    <w:rsid w:val="5E5C4F10"/>
    <w:rsid w:val="60720423"/>
    <w:rsid w:val="6276736A"/>
    <w:rsid w:val="67580E97"/>
    <w:rsid w:val="67D44E16"/>
    <w:rsid w:val="6815738F"/>
    <w:rsid w:val="697E273C"/>
    <w:rsid w:val="69992324"/>
    <w:rsid w:val="69C92EE1"/>
    <w:rsid w:val="6A2D09B4"/>
    <w:rsid w:val="70C84EDA"/>
    <w:rsid w:val="73087161"/>
    <w:rsid w:val="736164CA"/>
    <w:rsid w:val="737D10BD"/>
    <w:rsid w:val="74765805"/>
    <w:rsid w:val="764F21BA"/>
    <w:rsid w:val="76B15E4A"/>
    <w:rsid w:val="77BA3C25"/>
    <w:rsid w:val="78E20D8C"/>
    <w:rsid w:val="7E7B36DF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880" w:firstLineChars="20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paragraph" w:styleId="2">
    <w:name w:val="heading 1"/>
    <w:basedOn w:val="3"/>
    <w:next w:val="1"/>
    <w:link w:val="10"/>
    <w:qFormat/>
    <w:uiPriority w:val="99"/>
    <w:pPr>
      <w:keepNext/>
      <w:keepLines/>
      <w:spacing w:line="576" w:lineRule="auto"/>
      <w:ind w:firstLine="0" w:firstLineChars="0"/>
    </w:pPr>
    <w:rPr>
      <w:rFonts w:ascii="Times New Roman" w:hAnsi="Times New Roman" w:eastAsia="方正小标宋简体"/>
      <w:b w:val="0"/>
      <w:kern w:val="44"/>
      <w:sz w:val="44"/>
    </w:rPr>
  </w:style>
  <w:style w:type="character" w:default="1" w:styleId="6">
    <w:name w:val="Default Paragraph Font"/>
    <w:semiHidden/>
    <w:uiPriority w:val="99"/>
  </w:style>
  <w:style w:type="table" w:default="1" w:styleId="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link w:val="11"/>
    <w:qFormat/>
    <w:uiPriority w:val="99"/>
    <w:pPr>
      <w:jc w:val="center"/>
      <w:outlineLvl w:val="0"/>
    </w:pPr>
    <w:rPr>
      <w:rFonts w:ascii="Arial" w:hAnsi="Arial"/>
      <w:b/>
      <w:sz w:val="32"/>
    </w:rPr>
  </w:style>
  <w:style w:type="paragraph" w:styleId="4">
    <w:name w:val="footer"/>
    <w:basedOn w:val="1"/>
    <w:link w:val="14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FollowedHyperlink"/>
    <w:basedOn w:val="6"/>
    <w:qFormat/>
    <w:uiPriority w:val="99"/>
    <w:rPr>
      <w:rFonts w:cs="Times New Roman"/>
      <w:color w:val="800080"/>
      <w:u w:val="none"/>
    </w:rPr>
  </w:style>
  <w:style w:type="character" w:styleId="8">
    <w:name w:val="Hyperlink"/>
    <w:basedOn w:val="6"/>
    <w:qFormat/>
    <w:uiPriority w:val="99"/>
    <w:rPr>
      <w:rFonts w:cs="Times New Roman"/>
      <w:color w:val="0000FF"/>
      <w:u w:val="none"/>
    </w:rPr>
  </w:style>
  <w:style w:type="character" w:customStyle="1" w:styleId="10">
    <w:name w:val="Heading 1 Char"/>
    <w:basedOn w:val="6"/>
    <w:link w:val="2"/>
    <w:locked/>
    <w:uiPriority w:val="99"/>
    <w:rPr>
      <w:rFonts w:eastAsia="仿宋_GB2312" w:cs="Times New Roman"/>
      <w:b/>
      <w:bCs/>
      <w:kern w:val="44"/>
      <w:sz w:val="44"/>
      <w:szCs w:val="44"/>
    </w:rPr>
  </w:style>
  <w:style w:type="character" w:customStyle="1" w:styleId="11">
    <w:name w:val="Title Char"/>
    <w:basedOn w:val="6"/>
    <w:link w:val="3"/>
    <w:locked/>
    <w:uiPriority w:val="99"/>
    <w:rPr>
      <w:rFonts w:ascii="Cambria" w:hAnsi="Cambria" w:cs="Times New Roman"/>
      <w:b/>
      <w:bCs/>
      <w:sz w:val="32"/>
      <w:szCs w:val="32"/>
    </w:rPr>
  </w:style>
  <w:style w:type="paragraph" w:customStyle="1" w:styleId="12">
    <w:name w:val="列出段落"/>
    <w:basedOn w:val="1"/>
    <w:qFormat/>
    <w:uiPriority w:val="99"/>
    <w:pPr>
      <w:ind w:firstLine="420"/>
    </w:pPr>
  </w:style>
  <w:style w:type="character" w:customStyle="1" w:styleId="13">
    <w:name w:val="Header Char"/>
    <w:basedOn w:val="6"/>
    <w:link w:val="5"/>
    <w:semiHidden/>
    <w:qFormat/>
    <w:uiPriority w:val="99"/>
    <w:rPr>
      <w:rFonts w:eastAsia="仿宋_GB2312"/>
      <w:sz w:val="18"/>
      <w:szCs w:val="18"/>
    </w:rPr>
  </w:style>
  <w:style w:type="character" w:customStyle="1" w:styleId="14">
    <w:name w:val="Footer Char"/>
    <w:basedOn w:val="6"/>
    <w:link w:val="4"/>
    <w:semiHidden/>
    <w:qFormat/>
    <w:uiPriority w:val="99"/>
    <w:rPr>
      <w:rFonts w:eastAsia="仿宋_GB231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  <customShpInfo spid="_x0000_s1028"/>
    <customShpInfo spid="_x0000_s1029"/>
    <customShpInfo spid="_x0000_s103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2</Pages>
  <Words>170</Words>
  <Characters>973</Characters>
  <Lines>0</Lines>
  <Paragraphs>0</Paragraphs>
  <ScaleCrop>false</ScaleCrop>
  <LinksUpToDate>false</LinksUpToDate>
  <CharactersWithSpaces>0</CharactersWithSpaces>
  <Application>WPS Office_10.1.0.5973_F1E327BC-269C-435d-A152-05C5408002CA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2016-08-02T00:58:00Z</dcterms:created>
  <dc:creator>Administrator</dc:creator>
  <cp:lastModifiedBy>Administrator</cp:lastModifiedBy>
  <cp:lastPrinted>2016-08-16T04:07:00Z</cp:lastPrinted>
  <dcterms:modified xsi:type="dcterms:W3CDTF">2016-10-11T01:24:24Z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2052-10.1.0.5973</vt:lpwstr>
  </property>
</Properties>
</file>