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9D8" w:rsidRDefault="00CF4CAA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主要技术经济指标量化统计表</w:t>
      </w:r>
    </w:p>
    <w:tbl>
      <w:tblPr>
        <w:tblStyle w:val="a3"/>
        <w:tblW w:w="14174" w:type="dxa"/>
        <w:tblLayout w:type="fixed"/>
        <w:tblLook w:val="04A0"/>
      </w:tblPr>
      <w:tblGrid>
        <w:gridCol w:w="1242"/>
        <w:gridCol w:w="427"/>
        <w:gridCol w:w="1815"/>
        <w:gridCol w:w="3601"/>
        <w:gridCol w:w="1694"/>
        <w:gridCol w:w="1850"/>
        <w:gridCol w:w="3545"/>
      </w:tblGrid>
      <w:tr w:rsidR="00DA19D8" w:rsidRPr="00CF1AB6" w:rsidTr="000B0D7C">
        <w:tc>
          <w:tcPr>
            <w:tcW w:w="1669" w:type="dxa"/>
            <w:gridSpan w:val="2"/>
            <w:vAlign w:val="center"/>
          </w:tcPr>
          <w:p w:rsidR="00DA19D8" w:rsidRPr="00CF1AB6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技术需求</w:t>
            </w:r>
          </w:p>
        </w:tc>
        <w:tc>
          <w:tcPr>
            <w:tcW w:w="7110" w:type="dxa"/>
            <w:gridSpan w:val="3"/>
            <w:vAlign w:val="center"/>
          </w:tcPr>
          <w:p w:rsidR="00DA19D8" w:rsidRPr="00CF1AB6" w:rsidRDefault="000B0D7C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多鳞白甲鱼富硒饲料的研发</w:t>
            </w:r>
            <w:r w:rsidRPr="00CF1AB6">
              <w:rPr>
                <w:rFonts w:asciiTheme="minorEastAsia" w:hAnsiTheme="minorEastAsia" w:cs="宋体" w:hint="eastAsia"/>
                <w:szCs w:val="21"/>
              </w:rPr>
              <w:tab/>
            </w:r>
            <w:r w:rsidRPr="00CF1AB6">
              <w:rPr>
                <w:rFonts w:asciiTheme="minorEastAsia" w:hAnsiTheme="minorEastAsia" w:cs="宋体" w:hint="eastAsia"/>
                <w:szCs w:val="21"/>
              </w:rPr>
              <w:tab/>
            </w:r>
          </w:p>
        </w:tc>
        <w:tc>
          <w:tcPr>
            <w:tcW w:w="1850" w:type="dxa"/>
            <w:vAlign w:val="center"/>
          </w:tcPr>
          <w:p w:rsidR="00DA19D8" w:rsidRPr="00CF1AB6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企业名称</w:t>
            </w:r>
          </w:p>
        </w:tc>
        <w:tc>
          <w:tcPr>
            <w:tcW w:w="3545" w:type="dxa"/>
            <w:vAlign w:val="center"/>
          </w:tcPr>
          <w:p w:rsidR="00C02B99" w:rsidRPr="00CF1AB6" w:rsidRDefault="000B0D7C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岚皋县绿水生态农业</w:t>
            </w:r>
          </w:p>
          <w:p w:rsidR="00DA19D8" w:rsidRPr="00CF1AB6" w:rsidRDefault="000B0D7C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有限公司</w:t>
            </w:r>
          </w:p>
        </w:tc>
      </w:tr>
      <w:tr w:rsidR="00DA19D8" w:rsidRPr="00CF1AB6" w:rsidTr="00CF1AB6">
        <w:trPr>
          <w:trHeight w:val="635"/>
        </w:trPr>
        <w:tc>
          <w:tcPr>
            <w:tcW w:w="3484" w:type="dxa"/>
            <w:gridSpan w:val="3"/>
            <w:vAlign w:val="center"/>
          </w:tcPr>
          <w:p w:rsidR="00DA19D8" w:rsidRPr="00CF1AB6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市科技局联系人</w:t>
            </w:r>
          </w:p>
        </w:tc>
        <w:tc>
          <w:tcPr>
            <w:tcW w:w="3601" w:type="dxa"/>
            <w:vAlign w:val="center"/>
          </w:tcPr>
          <w:p w:rsidR="00DA19D8" w:rsidRPr="00CF1AB6" w:rsidRDefault="000B0D7C" w:rsidP="000B0D7C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CF1AB6">
              <w:rPr>
                <w:rFonts w:asciiTheme="minorEastAsia" w:hAnsiTheme="minorEastAsia" w:hint="eastAsia"/>
                <w:color w:val="000000"/>
                <w:szCs w:val="21"/>
              </w:rPr>
              <w:t>杨阳  18829451810</w:t>
            </w:r>
          </w:p>
        </w:tc>
        <w:tc>
          <w:tcPr>
            <w:tcW w:w="3544" w:type="dxa"/>
            <w:gridSpan w:val="2"/>
            <w:vAlign w:val="center"/>
          </w:tcPr>
          <w:p w:rsidR="00DA19D8" w:rsidRPr="00CF1AB6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企业联系人</w:t>
            </w:r>
          </w:p>
        </w:tc>
        <w:tc>
          <w:tcPr>
            <w:tcW w:w="3545" w:type="dxa"/>
            <w:vAlign w:val="center"/>
          </w:tcPr>
          <w:p w:rsidR="00DA19D8" w:rsidRPr="00CF1AB6" w:rsidRDefault="000B0D7C" w:rsidP="000B0D7C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CF1AB6">
              <w:rPr>
                <w:rFonts w:asciiTheme="minorEastAsia" w:hAnsiTheme="minorEastAsia" w:hint="eastAsia"/>
                <w:color w:val="000000"/>
                <w:szCs w:val="21"/>
              </w:rPr>
              <w:t>马力</w:t>
            </w:r>
          </w:p>
        </w:tc>
      </w:tr>
      <w:tr w:rsidR="00DA19D8" w:rsidRPr="00CF1AB6" w:rsidTr="00CF1AB6">
        <w:trPr>
          <w:trHeight w:val="558"/>
        </w:trPr>
        <w:tc>
          <w:tcPr>
            <w:tcW w:w="1242" w:type="dxa"/>
            <w:vMerge w:val="restart"/>
            <w:textDirection w:val="tbRlV"/>
            <w:vAlign w:val="center"/>
          </w:tcPr>
          <w:p w:rsidR="00DA19D8" w:rsidRPr="00CF1AB6" w:rsidRDefault="00CF4CAA">
            <w:pPr>
              <w:ind w:left="113" w:right="113"/>
              <w:jc w:val="center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主要技术经济指标</w:t>
            </w:r>
          </w:p>
        </w:tc>
        <w:tc>
          <w:tcPr>
            <w:tcW w:w="2242" w:type="dxa"/>
            <w:gridSpan w:val="2"/>
            <w:vAlign w:val="center"/>
          </w:tcPr>
          <w:p w:rsidR="00DA19D8" w:rsidRPr="00CF1AB6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生产成本</w:t>
            </w:r>
          </w:p>
        </w:tc>
        <w:tc>
          <w:tcPr>
            <w:tcW w:w="10690" w:type="dxa"/>
            <w:gridSpan w:val="4"/>
          </w:tcPr>
          <w:p w:rsidR="00DA19D8" w:rsidRPr="00CF1AB6" w:rsidRDefault="000B0D7C">
            <w:pPr>
              <w:jc w:val="left"/>
              <w:rPr>
                <w:rFonts w:asciiTheme="minorEastAsia" w:hAnsiTheme="minorEastAsia" w:cs="宋体"/>
                <w:color w:val="000000"/>
                <w:szCs w:val="21"/>
              </w:rPr>
            </w:pPr>
            <w:r w:rsidRPr="00CF1AB6">
              <w:rPr>
                <w:rFonts w:asciiTheme="minorEastAsia" w:hAnsiTheme="minorEastAsia" w:hint="eastAsia"/>
                <w:color w:val="000000"/>
                <w:szCs w:val="21"/>
              </w:rPr>
              <w:t>多鳞白甲鱼富硒饲料6100-7100元/吨</w:t>
            </w:r>
          </w:p>
        </w:tc>
      </w:tr>
      <w:tr w:rsidR="00DA19D8" w:rsidRPr="00CF1AB6" w:rsidTr="000B0D7C">
        <w:trPr>
          <w:trHeight w:val="1256"/>
        </w:trPr>
        <w:tc>
          <w:tcPr>
            <w:tcW w:w="1242" w:type="dxa"/>
            <w:vMerge/>
          </w:tcPr>
          <w:p w:rsidR="00DA19D8" w:rsidRPr="00CF1AB6" w:rsidRDefault="00DA19D8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242" w:type="dxa"/>
            <w:gridSpan w:val="2"/>
            <w:vAlign w:val="center"/>
          </w:tcPr>
          <w:p w:rsidR="00DA19D8" w:rsidRPr="00CF1AB6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需达到的</w:t>
            </w:r>
          </w:p>
          <w:p w:rsidR="00DA19D8" w:rsidRPr="00CF1AB6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技术性能</w:t>
            </w:r>
          </w:p>
          <w:p w:rsidR="00DA19D8" w:rsidRPr="00CF1AB6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指标参数</w:t>
            </w:r>
          </w:p>
        </w:tc>
        <w:tc>
          <w:tcPr>
            <w:tcW w:w="10690" w:type="dxa"/>
            <w:gridSpan w:val="4"/>
          </w:tcPr>
          <w:p w:rsidR="00CF1AB6" w:rsidRDefault="00CF1AB6" w:rsidP="000B0D7C">
            <w:pPr>
              <w:tabs>
                <w:tab w:val="left" w:pos="4148"/>
              </w:tabs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  <w:p w:rsidR="00DA19D8" w:rsidRPr="00CF1AB6" w:rsidRDefault="000B0D7C" w:rsidP="000B0D7C">
            <w:pPr>
              <w:tabs>
                <w:tab w:val="left" w:pos="4148"/>
              </w:tabs>
              <w:jc w:val="left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1.确定白甲鱼饲料中硒的最适添加量； 2.富硒饲料培育鱼苗，成活率达到90%以上，培育至规格5公分左右成活率达到85%以上； 3.肌肉中硒含量相对于自然状态下其肌肉富集的硒含量的2倍。</w:t>
            </w:r>
          </w:p>
        </w:tc>
      </w:tr>
      <w:tr w:rsidR="00DA19D8" w:rsidRPr="00CF1AB6" w:rsidTr="000B0D7C">
        <w:trPr>
          <w:trHeight w:val="629"/>
        </w:trPr>
        <w:tc>
          <w:tcPr>
            <w:tcW w:w="1242" w:type="dxa"/>
            <w:vMerge/>
          </w:tcPr>
          <w:p w:rsidR="00DA19D8" w:rsidRPr="00CF1AB6" w:rsidRDefault="00DA19D8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242" w:type="dxa"/>
            <w:gridSpan w:val="2"/>
            <w:vAlign w:val="center"/>
          </w:tcPr>
          <w:p w:rsidR="00DA19D8" w:rsidRPr="00CF1AB6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需达到的</w:t>
            </w:r>
          </w:p>
          <w:p w:rsidR="00DA19D8" w:rsidRPr="00CF1AB6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技术水平</w:t>
            </w:r>
          </w:p>
        </w:tc>
        <w:tc>
          <w:tcPr>
            <w:tcW w:w="10690" w:type="dxa"/>
            <w:gridSpan w:val="4"/>
            <w:vAlign w:val="center"/>
          </w:tcPr>
          <w:p w:rsidR="00DA19D8" w:rsidRPr="00CF1AB6" w:rsidRDefault="00CF4CAA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全市领先□      全省领先□      全国领先□</w:t>
            </w:r>
            <w:r w:rsidR="000B0D7C" w:rsidRPr="00CF1AB6">
              <w:rPr>
                <w:rFonts w:asciiTheme="minorEastAsia" w:hAnsiTheme="minorEastAsia" w:cs="宋体" w:hint="eastAsia"/>
                <w:szCs w:val="21"/>
              </w:rPr>
              <w:t>√</w:t>
            </w:r>
            <w:r w:rsidRPr="00CF1AB6">
              <w:rPr>
                <w:rFonts w:asciiTheme="minorEastAsia" w:hAnsiTheme="minorEastAsia" w:cs="宋体" w:hint="eastAsia"/>
                <w:szCs w:val="21"/>
              </w:rPr>
              <w:t xml:space="preserve">       国际领先□</w:t>
            </w:r>
          </w:p>
        </w:tc>
      </w:tr>
      <w:tr w:rsidR="00DA19D8" w:rsidRPr="00CF1AB6" w:rsidTr="000B0D7C">
        <w:trPr>
          <w:trHeight w:val="629"/>
        </w:trPr>
        <w:tc>
          <w:tcPr>
            <w:tcW w:w="1242" w:type="dxa"/>
            <w:vMerge/>
          </w:tcPr>
          <w:p w:rsidR="00DA19D8" w:rsidRPr="00CF1AB6" w:rsidRDefault="00DA19D8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242" w:type="dxa"/>
            <w:gridSpan w:val="2"/>
            <w:vAlign w:val="center"/>
          </w:tcPr>
          <w:p w:rsidR="00DA19D8" w:rsidRPr="00CF1AB6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技术所处阶段</w:t>
            </w:r>
          </w:p>
        </w:tc>
        <w:tc>
          <w:tcPr>
            <w:tcW w:w="10690" w:type="dxa"/>
            <w:gridSpan w:val="4"/>
            <w:vAlign w:val="center"/>
          </w:tcPr>
          <w:p w:rsidR="00DA19D8" w:rsidRPr="00CF1AB6" w:rsidRDefault="00CF4CAA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中试阶段□</w:t>
            </w:r>
            <w:r w:rsidR="000B0D7C" w:rsidRPr="00CF1AB6">
              <w:rPr>
                <w:rFonts w:asciiTheme="minorEastAsia" w:hAnsiTheme="minorEastAsia" w:cs="宋体" w:hint="eastAsia"/>
                <w:szCs w:val="21"/>
              </w:rPr>
              <w:t>√</w:t>
            </w:r>
            <w:r w:rsidRPr="00CF1AB6">
              <w:rPr>
                <w:rFonts w:asciiTheme="minorEastAsia" w:hAnsiTheme="minorEastAsia" w:cs="宋体" w:hint="eastAsia"/>
                <w:szCs w:val="21"/>
              </w:rPr>
              <w:t xml:space="preserve">      产业化阶段□</w:t>
            </w:r>
          </w:p>
        </w:tc>
      </w:tr>
      <w:tr w:rsidR="00DA19D8" w:rsidRPr="00CF1AB6" w:rsidTr="000B0D7C">
        <w:trPr>
          <w:trHeight w:val="629"/>
        </w:trPr>
        <w:tc>
          <w:tcPr>
            <w:tcW w:w="1242" w:type="dxa"/>
            <w:vMerge/>
          </w:tcPr>
          <w:p w:rsidR="00DA19D8" w:rsidRPr="00CF1AB6" w:rsidRDefault="00DA19D8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242" w:type="dxa"/>
            <w:gridSpan w:val="2"/>
            <w:vAlign w:val="center"/>
          </w:tcPr>
          <w:p w:rsidR="00DA19D8" w:rsidRPr="00CF1AB6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需取得</w:t>
            </w:r>
          </w:p>
          <w:p w:rsidR="00DA19D8" w:rsidRPr="00CF1AB6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的成果、</w:t>
            </w:r>
          </w:p>
          <w:p w:rsidR="00DA19D8" w:rsidRPr="00CF1AB6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专利数量</w:t>
            </w:r>
          </w:p>
        </w:tc>
        <w:tc>
          <w:tcPr>
            <w:tcW w:w="10690" w:type="dxa"/>
            <w:gridSpan w:val="4"/>
          </w:tcPr>
          <w:p w:rsidR="00CF1AB6" w:rsidRDefault="00CF1AB6" w:rsidP="000B0D7C">
            <w:pPr>
              <w:rPr>
                <w:rFonts w:asciiTheme="minorEastAsia" w:hAnsiTheme="minorEastAsia" w:cs="宋体" w:hint="eastAsia"/>
                <w:szCs w:val="21"/>
              </w:rPr>
            </w:pPr>
          </w:p>
          <w:p w:rsidR="00DA19D8" w:rsidRPr="00CF1AB6" w:rsidRDefault="000B0D7C" w:rsidP="000B0D7C">
            <w:pPr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1.发表学术论文1篇以上；2.形成该鱼富硒饲料配方技术专利；3.实现该鱼富硒品牌的构建。</w:t>
            </w:r>
            <w:r w:rsidRPr="00CF1AB6">
              <w:rPr>
                <w:rFonts w:asciiTheme="minorEastAsia" w:hAnsiTheme="minorEastAsia" w:cs="宋体" w:hint="eastAsia"/>
                <w:szCs w:val="21"/>
              </w:rPr>
              <w:tab/>
            </w:r>
            <w:r w:rsidRPr="00CF1AB6">
              <w:rPr>
                <w:rFonts w:asciiTheme="minorEastAsia" w:hAnsiTheme="minorEastAsia" w:cs="宋体" w:hint="eastAsia"/>
                <w:szCs w:val="21"/>
              </w:rPr>
              <w:tab/>
            </w:r>
            <w:r w:rsidRPr="00CF1AB6">
              <w:rPr>
                <w:rFonts w:asciiTheme="minorEastAsia" w:hAnsiTheme="minorEastAsia" w:cs="宋体" w:hint="eastAsia"/>
                <w:szCs w:val="21"/>
              </w:rPr>
              <w:tab/>
            </w:r>
          </w:p>
        </w:tc>
      </w:tr>
      <w:tr w:rsidR="00DA19D8" w:rsidRPr="00CF1AB6" w:rsidTr="000B0D7C">
        <w:trPr>
          <w:trHeight w:val="629"/>
        </w:trPr>
        <w:tc>
          <w:tcPr>
            <w:tcW w:w="1242" w:type="dxa"/>
            <w:vMerge/>
          </w:tcPr>
          <w:p w:rsidR="00DA19D8" w:rsidRPr="00CF1AB6" w:rsidRDefault="00DA19D8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242" w:type="dxa"/>
            <w:gridSpan w:val="2"/>
            <w:vAlign w:val="center"/>
          </w:tcPr>
          <w:p w:rsidR="00DA19D8" w:rsidRPr="00CF1AB6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知识产权归属</w:t>
            </w:r>
          </w:p>
        </w:tc>
        <w:tc>
          <w:tcPr>
            <w:tcW w:w="10690" w:type="dxa"/>
            <w:gridSpan w:val="4"/>
            <w:vAlign w:val="center"/>
          </w:tcPr>
          <w:p w:rsidR="00DA19D8" w:rsidRPr="00CF1AB6" w:rsidRDefault="00CF4CAA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需求方所有□     挑战方所有□     共同所有□</w:t>
            </w:r>
          </w:p>
        </w:tc>
      </w:tr>
      <w:tr w:rsidR="00DA19D8" w:rsidRPr="00CF1AB6" w:rsidTr="000B0D7C">
        <w:trPr>
          <w:trHeight w:val="629"/>
        </w:trPr>
        <w:tc>
          <w:tcPr>
            <w:tcW w:w="1242" w:type="dxa"/>
            <w:vMerge/>
          </w:tcPr>
          <w:p w:rsidR="00DA19D8" w:rsidRPr="00CF1AB6" w:rsidRDefault="00DA19D8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242" w:type="dxa"/>
            <w:gridSpan w:val="2"/>
            <w:vAlign w:val="center"/>
          </w:tcPr>
          <w:p w:rsidR="00DA19D8" w:rsidRPr="00CF1AB6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环保节能</w:t>
            </w:r>
          </w:p>
        </w:tc>
        <w:tc>
          <w:tcPr>
            <w:tcW w:w="10690" w:type="dxa"/>
            <w:gridSpan w:val="4"/>
            <w:vAlign w:val="center"/>
          </w:tcPr>
          <w:p w:rsidR="00DA19D8" w:rsidRPr="00CF1AB6" w:rsidRDefault="000B0D7C">
            <w:pPr>
              <w:jc w:val="left"/>
              <w:rPr>
                <w:rFonts w:asciiTheme="minorEastAsia" w:hAnsiTheme="minorEastAsia" w:cs="宋体"/>
                <w:color w:val="000000"/>
                <w:szCs w:val="21"/>
              </w:rPr>
            </w:pPr>
            <w:r w:rsidRPr="00CF1AB6">
              <w:rPr>
                <w:rFonts w:asciiTheme="minorEastAsia" w:hAnsiTheme="minorEastAsia" w:hint="eastAsia"/>
                <w:color w:val="000000"/>
                <w:szCs w:val="21"/>
              </w:rPr>
              <w:t>1.饲料中硒的添加，提高生长速率和饲料利用率，降低饵料的投入比；2.以有机硒的形式添加，对水体污染小</w:t>
            </w:r>
          </w:p>
        </w:tc>
      </w:tr>
      <w:tr w:rsidR="00DA19D8" w:rsidRPr="00CF1AB6" w:rsidTr="000B0D7C">
        <w:trPr>
          <w:trHeight w:val="629"/>
        </w:trPr>
        <w:tc>
          <w:tcPr>
            <w:tcW w:w="1242" w:type="dxa"/>
            <w:vMerge/>
          </w:tcPr>
          <w:p w:rsidR="00DA19D8" w:rsidRPr="00CF1AB6" w:rsidRDefault="00DA19D8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242" w:type="dxa"/>
            <w:gridSpan w:val="2"/>
            <w:vAlign w:val="center"/>
          </w:tcPr>
          <w:p w:rsidR="00DA19D8" w:rsidRPr="00CF1AB6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增收节支</w:t>
            </w:r>
          </w:p>
        </w:tc>
        <w:tc>
          <w:tcPr>
            <w:tcW w:w="10690" w:type="dxa"/>
            <w:gridSpan w:val="4"/>
          </w:tcPr>
          <w:p w:rsidR="00DA19D8" w:rsidRPr="00CF1AB6" w:rsidRDefault="000B0D7C" w:rsidP="00CF1AB6">
            <w:pPr>
              <w:jc w:val="left"/>
              <w:rPr>
                <w:rFonts w:asciiTheme="minorEastAsia" w:hAnsiTheme="minorEastAsia" w:cs="宋体"/>
                <w:color w:val="000000"/>
                <w:szCs w:val="21"/>
              </w:rPr>
            </w:pPr>
            <w:r w:rsidRPr="00CF1AB6">
              <w:rPr>
                <w:rFonts w:asciiTheme="minorEastAsia" w:hAnsiTheme="minorEastAsia" w:hint="eastAsia"/>
                <w:color w:val="000000"/>
                <w:szCs w:val="21"/>
              </w:rPr>
              <w:t>1.提高饲料利用率后，降低了饲料成本；2使用该饲料后，生长快，鱼体健康，减少鱼药成本的投入；3.打造富硒多鳞白甲鱼，提高产业价值。</w:t>
            </w:r>
          </w:p>
        </w:tc>
      </w:tr>
      <w:tr w:rsidR="00DA19D8" w:rsidRPr="00CF1AB6" w:rsidTr="000B0D7C">
        <w:trPr>
          <w:trHeight w:val="629"/>
        </w:trPr>
        <w:tc>
          <w:tcPr>
            <w:tcW w:w="1242" w:type="dxa"/>
            <w:vMerge/>
          </w:tcPr>
          <w:p w:rsidR="00DA19D8" w:rsidRPr="00CF1AB6" w:rsidRDefault="00DA19D8">
            <w:pPr>
              <w:jc w:val="left"/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2242" w:type="dxa"/>
            <w:gridSpan w:val="2"/>
            <w:vAlign w:val="center"/>
          </w:tcPr>
          <w:p w:rsidR="00DA19D8" w:rsidRPr="00CF1AB6" w:rsidRDefault="00CF4CAA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 w:hint="eastAsia"/>
                <w:szCs w:val="21"/>
              </w:rPr>
              <w:t>其他指标</w:t>
            </w:r>
          </w:p>
        </w:tc>
        <w:tc>
          <w:tcPr>
            <w:tcW w:w="10690" w:type="dxa"/>
            <w:gridSpan w:val="4"/>
          </w:tcPr>
          <w:p w:rsidR="000B0D7C" w:rsidRPr="00CF1AB6" w:rsidRDefault="000B0D7C" w:rsidP="000B0D7C">
            <w:pPr>
              <w:tabs>
                <w:tab w:val="left" w:pos="5760"/>
              </w:tabs>
              <w:rPr>
                <w:rFonts w:asciiTheme="minorEastAsia" w:hAnsiTheme="minorEastAsia" w:cs="宋体"/>
                <w:szCs w:val="21"/>
              </w:rPr>
            </w:pPr>
            <w:r w:rsidRPr="00CF1AB6">
              <w:rPr>
                <w:rFonts w:asciiTheme="minorEastAsia" w:hAnsiTheme="minorEastAsia" w:cs="宋体"/>
                <w:szCs w:val="21"/>
              </w:rPr>
              <w:tab/>
            </w:r>
          </w:p>
          <w:p w:rsidR="00DA19D8" w:rsidRPr="00CF1AB6" w:rsidRDefault="000B0D7C" w:rsidP="000B0D7C">
            <w:pPr>
              <w:rPr>
                <w:rFonts w:asciiTheme="minorEastAsia" w:hAnsiTheme="minorEastAsia" w:cs="宋体"/>
                <w:color w:val="000000"/>
                <w:szCs w:val="21"/>
              </w:rPr>
            </w:pPr>
            <w:r w:rsidRPr="00CF1AB6">
              <w:rPr>
                <w:rFonts w:asciiTheme="minorEastAsia" w:hAnsiTheme="minorEastAsia" w:hint="eastAsia"/>
                <w:color w:val="000000"/>
                <w:szCs w:val="21"/>
              </w:rPr>
              <w:t>产生社会效益，带动周围及行业内人士养殖该品种，帮助脱贫致富</w:t>
            </w:r>
          </w:p>
        </w:tc>
      </w:tr>
    </w:tbl>
    <w:p w:rsidR="00DA19D8" w:rsidRDefault="00DA19D8" w:rsidP="00CF4CAA">
      <w:pPr>
        <w:rPr>
          <w:rFonts w:ascii="仿宋_GB2312" w:eastAsia="仿宋_GB2312" w:hAnsi="仿宋_GB2312" w:cs="仿宋_GB2312"/>
          <w:szCs w:val="21"/>
        </w:rPr>
      </w:pPr>
    </w:p>
    <w:sectPr w:rsidR="00DA19D8" w:rsidSect="00CF4CAA">
      <w:pgSz w:w="16838" w:h="11906" w:orient="landscape"/>
      <w:pgMar w:top="1134" w:right="1440" w:bottom="1134" w:left="1440" w:header="851" w:footer="992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E0C" w:rsidRDefault="00E63E0C" w:rsidP="00CF4CAA">
      <w:pPr>
        <w:ind w:firstLine="600"/>
      </w:pPr>
      <w:r>
        <w:separator/>
      </w:r>
    </w:p>
  </w:endnote>
  <w:endnote w:type="continuationSeparator" w:id="1">
    <w:p w:rsidR="00E63E0C" w:rsidRDefault="00E63E0C" w:rsidP="00CF4CAA">
      <w:pPr>
        <w:ind w:firstLine="6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E0C" w:rsidRDefault="00E63E0C" w:rsidP="00CF4CAA">
      <w:pPr>
        <w:ind w:firstLine="600"/>
      </w:pPr>
      <w:r>
        <w:separator/>
      </w:r>
    </w:p>
  </w:footnote>
  <w:footnote w:type="continuationSeparator" w:id="1">
    <w:p w:rsidR="00E63E0C" w:rsidRDefault="00E63E0C" w:rsidP="00CF4CAA">
      <w:pPr>
        <w:ind w:firstLine="6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19D8"/>
    <w:rsid w:val="00083901"/>
    <w:rsid w:val="000B0D7C"/>
    <w:rsid w:val="00204175"/>
    <w:rsid w:val="003037AD"/>
    <w:rsid w:val="003A665D"/>
    <w:rsid w:val="00982487"/>
    <w:rsid w:val="00C02B99"/>
    <w:rsid w:val="00CB5004"/>
    <w:rsid w:val="00CF1AB6"/>
    <w:rsid w:val="00CF4CAA"/>
    <w:rsid w:val="00DA19D8"/>
    <w:rsid w:val="00E63E0C"/>
    <w:rsid w:val="08672882"/>
    <w:rsid w:val="11354BF4"/>
    <w:rsid w:val="1EF32833"/>
    <w:rsid w:val="29E458F3"/>
    <w:rsid w:val="2D975AFC"/>
    <w:rsid w:val="343364F5"/>
    <w:rsid w:val="55D6430B"/>
    <w:rsid w:val="609451F9"/>
    <w:rsid w:val="63502529"/>
    <w:rsid w:val="666B144B"/>
    <w:rsid w:val="677D0C99"/>
    <w:rsid w:val="717A171B"/>
    <w:rsid w:val="7B976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19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A19D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CF4C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F4CAA"/>
    <w:rPr>
      <w:kern w:val="2"/>
      <w:sz w:val="18"/>
      <w:szCs w:val="18"/>
    </w:rPr>
  </w:style>
  <w:style w:type="paragraph" w:styleId="a5">
    <w:name w:val="footer"/>
    <w:basedOn w:val="a"/>
    <w:link w:val="Char0"/>
    <w:rsid w:val="00CF4C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F4CA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503</Characters>
  <Application>Microsoft Office Word</Application>
  <DocSecurity>0</DocSecurity>
  <Lines>4</Lines>
  <Paragraphs>1</Paragraphs>
  <ScaleCrop>false</ScaleCrop>
  <Company>微软中国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cp:lastPrinted>2016-09-30T04:55:00Z</cp:lastPrinted>
  <dcterms:created xsi:type="dcterms:W3CDTF">2014-10-29T12:08:00Z</dcterms:created>
  <dcterms:modified xsi:type="dcterms:W3CDTF">2016-09-30T04:55:00Z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