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66F" w:rsidRPr="005C3404" w:rsidRDefault="005C3404" w:rsidP="005C3404">
      <w:pPr>
        <w:ind w:firstLineChars="150" w:firstLine="482"/>
        <w:jc w:val="center"/>
        <w:rPr>
          <w:rFonts w:ascii="华文仿宋" w:eastAsia="华文仿宋" w:hAnsi="华文仿宋" w:cs="华文仿宋"/>
          <w:b/>
          <w:sz w:val="32"/>
          <w:szCs w:val="32"/>
        </w:rPr>
      </w:pPr>
      <w:r w:rsidRPr="005C3404">
        <w:rPr>
          <w:rFonts w:ascii="仿宋" w:eastAsia="仿宋" w:hAnsi="仿宋" w:hint="eastAsia"/>
          <w:b/>
          <w:color w:val="000000" w:themeColor="text1"/>
          <w:sz w:val="32"/>
          <w:szCs w:val="32"/>
        </w:rPr>
        <w:t>绩效评价项目目录</w:t>
      </w:r>
      <w:bookmarkStart w:id="0" w:name="_GoBack"/>
      <w:bookmarkEnd w:id="0"/>
    </w:p>
    <w:tbl>
      <w:tblPr>
        <w:tblW w:w="9073" w:type="dxa"/>
        <w:tblInd w:w="-318" w:type="dxa"/>
        <w:tblLayout w:type="fixed"/>
        <w:tblLook w:val="04A0" w:firstRow="1" w:lastRow="0" w:firstColumn="1" w:lastColumn="0" w:noHBand="0" w:noVBand="1"/>
      </w:tblPr>
      <w:tblGrid>
        <w:gridCol w:w="710"/>
        <w:gridCol w:w="1134"/>
        <w:gridCol w:w="5386"/>
        <w:gridCol w:w="1843"/>
      </w:tblGrid>
      <w:tr w:rsidR="00845141" w:rsidTr="0002640B">
        <w:trPr>
          <w:trHeight w:val="615"/>
        </w:trPr>
        <w:tc>
          <w:tcPr>
            <w:tcW w:w="9073"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845141" w:rsidRPr="0002640B" w:rsidRDefault="004E5B00" w:rsidP="0002640B">
            <w:pPr>
              <w:widowControl/>
              <w:jc w:val="center"/>
              <w:rPr>
                <w:rFonts w:ascii="华文仿宋" w:eastAsia="华文仿宋" w:hAnsi="华文仿宋" w:cs="宋体" w:hint="eastAsia"/>
                <w:b/>
                <w:bCs/>
                <w:kern w:val="0"/>
                <w:szCs w:val="21"/>
              </w:rPr>
            </w:pPr>
            <w:r w:rsidRPr="0002640B">
              <w:rPr>
                <w:rFonts w:ascii="华文仿宋" w:eastAsia="华文仿宋" w:hAnsi="华文仿宋" w:cs="华文仿宋" w:hint="eastAsia"/>
                <w:b/>
                <w:sz w:val="28"/>
                <w:szCs w:val="28"/>
              </w:rPr>
              <w:t>专项项目</w:t>
            </w:r>
          </w:p>
        </w:tc>
      </w:tr>
      <w:tr w:rsidR="00E95537" w:rsidTr="00E95537">
        <w:trPr>
          <w:trHeight w:val="615"/>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b/>
                <w:bCs/>
                <w:kern w:val="0"/>
                <w:szCs w:val="21"/>
              </w:rPr>
            </w:pPr>
            <w:r>
              <w:rPr>
                <w:rFonts w:ascii="华文仿宋" w:eastAsia="华文仿宋" w:hAnsi="华文仿宋" w:cs="宋体" w:hint="eastAsia"/>
                <w:b/>
                <w:bCs/>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b/>
                <w:bCs/>
                <w:kern w:val="0"/>
                <w:szCs w:val="21"/>
              </w:rPr>
            </w:pPr>
            <w:r>
              <w:rPr>
                <w:rFonts w:ascii="华文仿宋" w:eastAsia="华文仿宋" w:hAnsi="华文仿宋" w:cs="宋体" w:hint="eastAsia"/>
                <w:b/>
                <w:bCs/>
                <w:kern w:val="0"/>
                <w:szCs w:val="21"/>
              </w:rPr>
              <w:t>项目编号</w:t>
            </w:r>
          </w:p>
        </w:tc>
        <w:tc>
          <w:tcPr>
            <w:tcW w:w="5386" w:type="dxa"/>
            <w:tcBorders>
              <w:top w:val="single" w:sz="4" w:space="0" w:color="auto"/>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b/>
                <w:bCs/>
                <w:kern w:val="0"/>
                <w:szCs w:val="21"/>
              </w:rPr>
            </w:pPr>
            <w:r>
              <w:rPr>
                <w:rFonts w:ascii="华文仿宋" w:eastAsia="华文仿宋" w:hAnsi="华文仿宋" w:cs="宋体" w:hint="eastAsia"/>
                <w:b/>
                <w:bCs/>
                <w:kern w:val="0"/>
                <w:szCs w:val="21"/>
              </w:rPr>
              <w:t>项目名称</w:t>
            </w:r>
          </w:p>
        </w:tc>
        <w:tc>
          <w:tcPr>
            <w:tcW w:w="1843" w:type="dxa"/>
            <w:tcBorders>
              <w:top w:val="single" w:sz="4" w:space="0" w:color="auto"/>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b/>
                <w:bCs/>
                <w:kern w:val="0"/>
                <w:szCs w:val="21"/>
              </w:rPr>
            </w:pPr>
            <w:r>
              <w:rPr>
                <w:rFonts w:ascii="华文仿宋" w:eastAsia="华文仿宋" w:hAnsi="华文仿宋" w:cs="宋体" w:hint="eastAsia"/>
                <w:b/>
                <w:bCs/>
                <w:kern w:val="0"/>
                <w:szCs w:val="21"/>
              </w:rPr>
              <w:t>项目负责人或实验室</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14JK1185</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陕西佛教养生思想文化与中医养生学融合的现代价值研究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辛  宝</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14JK1186</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文化操控视角下的《黄帝内经》英译史研究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刘  娜</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3</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14JK1187</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语言接触中的词汇成分借用及混合方式研究——以商洛客家方言词汇研究为例</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付新军</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4</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14JK1188</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常用有机溶剂对细胞增殖周期的干预效应研究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杨晓航</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5</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14JK1189</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NF-κB在纤维化关联的胰腺星状细胞活化中的作用及其机制研究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刘  芳</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6</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14JK1190</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补肾活血颗粒治疗绝经后MVA疗效评价及机制研究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罗文平</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7</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14JK1191</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大鼠疑核在心脏伤害性刺激相关的血压改变中的作用及神经生物学机制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刘晓华</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8</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14JK1192</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丹黄通脉方对颈动脉粥样硬化斑块易损因素综合调控作用机制研究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齐  婧</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9</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14JK1193</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电针对慢性应激抑郁模型大鼠中枢内源性大麻素系统作用的实验研究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刘  娟</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10</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14JK1194</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二色补血草多糖抗宫颈癌活性成分筛选及其构效关系研究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张丽华</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11</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14JK1195</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国医大师张学文经验方制剂脑清通颗粒对高血压肝热痰瘀证大鼠血浆IL-7、TNF-α的影响</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白海侠</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12</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14JK1196</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基于“溶液环境特征-化学成分”体内外分析常用中药精制技术的适用性</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崔春利</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13</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14JK1197</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 xml:space="preserve">基于“治未病”理论加味黄芩汤调控IL-6/STAT3信号通路 抑制溃疡性结肠炎癌变的分子机制研究 </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王  倩</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14JK1198</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基于mTOR信号通路研究新加归肾丸促进大鼠卵巢颗粒细胞增殖的分子机制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蔡  竞</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15</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14JK1199</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基于多维关联规则挖掘中医脑系疾病“理-法-方-药”相关性的分析研究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仝武宁</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16</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14JK1200</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基于多元统计分析方法对溃疡性结肠炎辨证标准的建立</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李  毅</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lastRenderedPageBreak/>
              <w:t>17</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14JK1201</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基于规则引擎技术的医院处方审核系统研究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王  旸</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18</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14JK1202</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基于线粒体能量代谢途径探讨制首乌致肝损伤“毒-证”机制研究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焦晨莉</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19</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14JK1203</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基于香豆素小分子胶凝剂的合成及应用</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姜  祎</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20</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14JK1204</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基于响应曲面分析法对抵挡汤类方中桃仁—大黄药对破血逐瘀配伍规律研究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颜永刚</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21</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14JK1205</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基于子宫内膜干细胞旁分泌效应研究补肾法改善薄型子宫内膜容受性的机制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李  楠</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22</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14JK1206</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加味四君子汤结合麦麸食品对社区老年慢性病患者康复期胃肠屏障功能改善的临床干预研究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李  宏</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23</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14JK1207</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慢性咳嗽病因诊断与经验性治疗的临床研究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王惠琴</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24</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14JK1208</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羟基红花黄色素A对小鼠Lewis肺癌移植瘤的抑制作用及其分子机制的研究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高  亭</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25</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14JK1209</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青藤碱关节腔注射对兔膝骨关节炎模型脂肪因子影响的实验研究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郑  洁</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26</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14JK1210</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水飞蓟抗烫伤活性评价及作用机理研究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卫  昊</w:t>
            </w:r>
          </w:p>
        </w:tc>
      </w:tr>
      <w:tr w:rsidR="00E95537" w:rsidTr="00E95537">
        <w:trPr>
          <w:trHeight w:val="720"/>
        </w:trPr>
        <w:tc>
          <w:tcPr>
            <w:tcW w:w="710" w:type="dxa"/>
            <w:tcBorders>
              <w:top w:val="nil"/>
              <w:left w:val="single" w:sz="4" w:space="0" w:color="auto"/>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27</w:t>
            </w:r>
          </w:p>
        </w:tc>
        <w:tc>
          <w:tcPr>
            <w:tcW w:w="1134"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14JK1211</w:t>
            </w:r>
          </w:p>
        </w:tc>
        <w:tc>
          <w:tcPr>
            <w:tcW w:w="5386" w:type="dxa"/>
            <w:tcBorders>
              <w:top w:val="nil"/>
              <w:left w:val="nil"/>
              <w:bottom w:val="single" w:sz="4" w:space="0" w:color="auto"/>
              <w:right w:val="single" w:sz="4" w:space="0" w:color="auto"/>
            </w:tcBorders>
            <w:vAlign w:val="center"/>
          </w:tcPr>
          <w:p w:rsidR="00E95537" w:rsidRDefault="00E95537">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通利枢机针刺法干预Notch信号通路调控大鼠脑缺血后神经干细胞再生的研究</w:t>
            </w:r>
          </w:p>
        </w:tc>
        <w:tc>
          <w:tcPr>
            <w:tcW w:w="1843" w:type="dxa"/>
            <w:tcBorders>
              <w:top w:val="nil"/>
              <w:left w:val="nil"/>
              <w:bottom w:val="single" w:sz="4" w:space="0" w:color="auto"/>
              <w:right w:val="single" w:sz="4" w:space="0" w:color="auto"/>
            </w:tcBorders>
            <w:vAlign w:val="center"/>
          </w:tcPr>
          <w:p w:rsidR="00E95537" w:rsidRDefault="00E95537">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惠建荣</w:t>
            </w:r>
          </w:p>
        </w:tc>
      </w:tr>
      <w:tr w:rsidR="00845141" w:rsidTr="0002640B">
        <w:trPr>
          <w:trHeight w:val="720"/>
        </w:trPr>
        <w:tc>
          <w:tcPr>
            <w:tcW w:w="9073"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845141" w:rsidRDefault="00845141">
            <w:pPr>
              <w:widowControl/>
              <w:jc w:val="center"/>
              <w:rPr>
                <w:rFonts w:ascii="华文仿宋" w:eastAsia="华文仿宋" w:hAnsi="华文仿宋" w:cs="宋体" w:hint="eastAsia"/>
                <w:kern w:val="0"/>
                <w:szCs w:val="21"/>
              </w:rPr>
            </w:pPr>
            <w:r w:rsidRPr="0002640B">
              <w:rPr>
                <w:rFonts w:ascii="华文仿宋" w:eastAsia="华文仿宋" w:hAnsi="华文仿宋" w:cs="华文仿宋" w:hint="eastAsia"/>
                <w:b/>
                <w:sz w:val="28"/>
                <w:szCs w:val="28"/>
              </w:rPr>
              <w:t>重点实验室科学研究计划项目</w:t>
            </w:r>
          </w:p>
        </w:tc>
      </w:tr>
      <w:tr w:rsidR="00E95537" w:rsidTr="0002640B">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kern w:val="0"/>
                <w:szCs w:val="21"/>
              </w:rPr>
            </w:pPr>
            <w:r w:rsidRPr="0002640B">
              <w:rPr>
                <w:rFonts w:ascii="华文仿宋" w:eastAsia="华文仿宋" w:hAnsi="华文仿宋" w:cs="宋体" w:hint="eastAsia"/>
                <w:b/>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kern w:val="0"/>
                <w:szCs w:val="21"/>
              </w:rPr>
            </w:pPr>
            <w:r w:rsidRPr="0002640B">
              <w:rPr>
                <w:rFonts w:ascii="华文仿宋" w:eastAsia="华文仿宋" w:hAnsi="华文仿宋" w:cs="宋体" w:hint="eastAsia"/>
                <w:b/>
                <w:kern w:val="0"/>
                <w:szCs w:val="21"/>
              </w:rPr>
              <w:t>项目编号</w:t>
            </w:r>
          </w:p>
        </w:tc>
        <w:tc>
          <w:tcPr>
            <w:tcW w:w="5386" w:type="dxa"/>
            <w:tcBorders>
              <w:top w:val="single" w:sz="4" w:space="0" w:color="auto"/>
              <w:left w:val="nil"/>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kern w:val="0"/>
                <w:szCs w:val="21"/>
              </w:rPr>
            </w:pPr>
            <w:r w:rsidRPr="0002640B">
              <w:rPr>
                <w:rFonts w:ascii="华文仿宋" w:eastAsia="华文仿宋" w:hAnsi="华文仿宋" w:cs="宋体" w:hint="eastAsia"/>
                <w:b/>
                <w:kern w:val="0"/>
                <w:szCs w:val="21"/>
              </w:rPr>
              <w:t>项目名称</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E95537" w:rsidRPr="0002640B" w:rsidRDefault="00E95537" w:rsidP="00DA6D8E">
            <w:pPr>
              <w:widowControl/>
              <w:jc w:val="center"/>
              <w:rPr>
                <w:rFonts w:ascii="华文仿宋" w:eastAsia="华文仿宋" w:hAnsi="华文仿宋" w:cs="宋体"/>
                <w:b/>
                <w:kern w:val="0"/>
                <w:szCs w:val="21"/>
              </w:rPr>
            </w:pPr>
            <w:r w:rsidRPr="0002640B">
              <w:rPr>
                <w:rFonts w:ascii="华文仿宋" w:eastAsia="华文仿宋" w:hAnsi="华文仿宋" w:cs="宋体" w:hint="eastAsia"/>
                <w:b/>
                <w:kern w:val="0"/>
                <w:szCs w:val="21"/>
              </w:rPr>
              <w:t>实验室及                         项目负责人</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14JS023</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基于改进炮制工艺的黄精饮片的质量评价研究</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陕西省中药基础与新药研究重点实验室                          孙静</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14JS024</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proofErr w:type="gramStart"/>
            <w:r>
              <w:rPr>
                <w:rFonts w:ascii="华文仿宋" w:eastAsia="华文仿宋" w:hAnsi="华文仿宋" w:cs="宋体" w:hint="eastAsia"/>
                <w:kern w:val="0"/>
                <w:szCs w:val="21"/>
              </w:rPr>
              <w:t>款冬花硒多糖</w:t>
            </w:r>
            <w:proofErr w:type="gramEnd"/>
            <w:r>
              <w:rPr>
                <w:rFonts w:ascii="华文仿宋" w:eastAsia="华文仿宋" w:hAnsi="华文仿宋" w:cs="宋体" w:hint="eastAsia"/>
                <w:kern w:val="0"/>
                <w:szCs w:val="21"/>
              </w:rPr>
              <w:t>制备工艺及抑制肿瘤活性研究</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陕西省中药基础与新药研究重点实验室                          赵鹏</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3</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14JS025</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基于DEC1-STAT3-VEGF信号机制的“参佛胃康”抗荷人胃癌小鼠肿瘤生长的研究</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陕西省中医体质与疾病防治重点实验室                  王小平</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lastRenderedPageBreak/>
              <w:t>4</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14JS026</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基于体质疾病相关理论的盐敏感性体质转化为高血压的Apelin/APJ分子机制研究</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陕西省中医体质与疾病防治重点实验室                          张琪</w:t>
            </w:r>
          </w:p>
        </w:tc>
      </w:tr>
      <w:tr w:rsidR="00845141" w:rsidTr="0002640B">
        <w:trPr>
          <w:trHeight w:val="720"/>
        </w:trPr>
        <w:tc>
          <w:tcPr>
            <w:tcW w:w="9073"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845141" w:rsidRDefault="00845141">
            <w:pPr>
              <w:widowControl/>
              <w:jc w:val="center"/>
              <w:rPr>
                <w:rFonts w:ascii="华文仿宋" w:eastAsia="华文仿宋" w:hAnsi="华文仿宋" w:cs="宋体" w:hint="eastAsia"/>
                <w:kern w:val="0"/>
                <w:szCs w:val="21"/>
              </w:rPr>
            </w:pPr>
            <w:r w:rsidRPr="0002640B">
              <w:rPr>
                <w:rFonts w:ascii="华文仿宋" w:eastAsia="华文仿宋" w:hAnsi="华文仿宋" w:cs="华文仿宋" w:hint="eastAsia"/>
                <w:b/>
                <w:sz w:val="28"/>
                <w:szCs w:val="28"/>
              </w:rPr>
              <w:t>服务地方专项计划项目</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bCs/>
                <w:kern w:val="0"/>
                <w:szCs w:val="21"/>
              </w:rPr>
            </w:pPr>
            <w:r w:rsidRPr="0002640B">
              <w:rPr>
                <w:rFonts w:ascii="华文仿宋" w:eastAsia="华文仿宋" w:hAnsi="华文仿宋" w:cs="宋体" w:hint="eastAsia"/>
                <w:b/>
                <w:bCs/>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bCs/>
                <w:kern w:val="0"/>
                <w:szCs w:val="21"/>
              </w:rPr>
            </w:pPr>
            <w:r w:rsidRPr="0002640B">
              <w:rPr>
                <w:rFonts w:ascii="华文仿宋" w:eastAsia="华文仿宋" w:hAnsi="华文仿宋" w:cs="宋体" w:hint="eastAsia"/>
                <w:b/>
                <w:bCs/>
                <w:kern w:val="0"/>
                <w:szCs w:val="21"/>
              </w:rPr>
              <w:t>项目</w:t>
            </w:r>
          </w:p>
          <w:p w:rsidR="00E95537" w:rsidRPr="0002640B" w:rsidRDefault="00E95537" w:rsidP="00DA6D8E">
            <w:pPr>
              <w:widowControl/>
              <w:jc w:val="center"/>
              <w:rPr>
                <w:rFonts w:ascii="华文仿宋" w:eastAsia="华文仿宋" w:hAnsi="华文仿宋" w:cs="宋体"/>
                <w:b/>
                <w:bCs/>
                <w:kern w:val="0"/>
                <w:szCs w:val="21"/>
              </w:rPr>
            </w:pPr>
            <w:r w:rsidRPr="0002640B">
              <w:rPr>
                <w:rFonts w:ascii="华文仿宋" w:eastAsia="华文仿宋" w:hAnsi="华文仿宋" w:cs="宋体" w:hint="eastAsia"/>
                <w:b/>
                <w:bCs/>
                <w:kern w:val="0"/>
                <w:szCs w:val="21"/>
              </w:rPr>
              <w:t>编号</w:t>
            </w:r>
          </w:p>
        </w:tc>
        <w:tc>
          <w:tcPr>
            <w:tcW w:w="5386" w:type="dxa"/>
            <w:tcBorders>
              <w:top w:val="single" w:sz="4" w:space="0" w:color="auto"/>
              <w:left w:val="nil"/>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bCs/>
                <w:kern w:val="0"/>
                <w:szCs w:val="21"/>
              </w:rPr>
            </w:pPr>
            <w:r w:rsidRPr="0002640B">
              <w:rPr>
                <w:rFonts w:ascii="华文仿宋" w:eastAsia="华文仿宋" w:hAnsi="华文仿宋" w:cs="宋体" w:hint="eastAsia"/>
                <w:b/>
                <w:bCs/>
                <w:kern w:val="0"/>
                <w:szCs w:val="21"/>
              </w:rPr>
              <w:t>项目名称</w:t>
            </w:r>
          </w:p>
        </w:tc>
        <w:tc>
          <w:tcPr>
            <w:tcW w:w="1843" w:type="dxa"/>
            <w:tcBorders>
              <w:top w:val="single" w:sz="4" w:space="0" w:color="auto"/>
              <w:left w:val="nil"/>
              <w:bottom w:val="single" w:sz="4" w:space="0" w:color="auto"/>
              <w:right w:val="single" w:sz="4" w:space="0" w:color="auto"/>
            </w:tcBorders>
            <w:vAlign w:val="center"/>
          </w:tcPr>
          <w:p w:rsidR="00E95537" w:rsidRPr="0002640B" w:rsidRDefault="00E95537" w:rsidP="00DA6D8E">
            <w:pPr>
              <w:widowControl/>
              <w:jc w:val="center"/>
              <w:rPr>
                <w:rFonts w:ascii="华文仿宋" w:eastAsia="华文仿宋" w:hAnsi="华文仿宋" w:cs="宋体"/>
                <w:b/>
                <w:bCs/>
                <w:kern w:val="0"/>
                <w:szCs w:val="21"/>
              </w:rPr>
            </w:pPr>
            <w:r w:rsidRPr="0002640B">
              <w:rPr>
                <w:rFonts w:ascii="华文仿宋" w:eastAsia="华文仿宋" w:hAnsi="华文仿宋" w:cs="宋体" w:hint="eastAsia"/>
                <w:b/>
                <w:bCs/>
                <w:kern w:val="0"/>
                <w:szCs w:val="21"/>
              </w:rPr>
              <w:t>项目</w:t>
            </w:r>
            <w:r w:rsidRPr="0002640B">
              <w:rPr>
                <w:rFonts w:ascii="华文仿宋" w:eastAsia="华文仿宋" w:hAnsi="华文仿宋" w:cs="宋体" w:hint="eastAsia"/>
                <w:b/>
                <w:bCs/>
                <w:kern w:val="0"/>
                <w:szCs w:val="21"/>
              </w:rPr>
              <w:t>负责人</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14JF005</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珠子参保肝降酶有效成分竹节参皂苷Ⅳa 制备工艺中试研究</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宋小妹</w:t>
            </w:r>
          </w:p>
        </w:tc>
      </w:tr>
      <w:tr w:rsidR="00E95537" w:rsidTr="00E95537">
        <w:trPr>
          <w:trHeight w:val="720"/>
        </w:trPr>
        <w:tc>
          <w:tcPr>
            <w:tcW w:w="710" w:type="dxa"/>
            <w:tcBorders>
              <w:top w:val="single" w:sz="4" w:space="0" w:color="auto"/>
              <w:left w:val="single" w:sz="4" w:space="0" w:color="auto"/>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2</w:t>
            </w:r>
          </w:p>
        </w:tc>
        <w:tc>
          <w:tcPr>
            <w:tcW w:w="1134"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14JF006</w:t>
            </w:r>
          </w:p>
        </w:tc>
        <w:tc>
          <w:tcPr>
            <w:tcW w:w="5386" w:type="dxa"/>
            <w:tcBorders>
              <w:top w:val="single" w:sz="4" w:space="0" w:color="auto"/>
              <w:left w:val="nil"/>
              <w:bottom w:val="single" w:sz="4" w:space="0" w:color="auto"/>
              <w:right w:val="single" w:sz="4" w:space="0" w:color="auto"/>
            </w:tcBorders>
            <w:vAlign w:val="center"/>
          </w:tcPr>
          <w:p w:rsidR="00E95537" w:rsidRDefault="00E95537" w:rsidP="00DA6D8E">
            <w:pPr>
              <w:widowControl/>
              <w:jc w:val="left"/>
              <w:rPr>
                <w:rFonts w:ascii="华文仿宋" w:eastAsia="华文仿宋" w:hAnsi="华文仿宋" w:cs="宋体"/>
                <w:kern w:val="0"/>
                <w:szCs w:val="21"/>
              </w:rPr>
            </w:pPr>
            <w:r>
              <w:rPr>
                <w:rFonts w:ascii="华文仿宋" w:eastAsia="华文仿宋" w:hAnsi="华文仿宋" w:cs="宋体" w:hint="eastAsia"/>
                <w:kern w:val="0"/>
                <w:szCs w:val="21"/>
              </w:rPr>
              <w:t>健脑益智胶囊的研制与开发</w:t>
            </w:r>
          </w:p>
        </w:tc>
        <w:tc>
          <w:tcPr>
            <w:tcW w:w="1843" w:type="dxa"/>
            <w:tcBorders>
              <w:top w:val="single" w:sz="4" w:space="0" w:color="auto"/>
              <w:left w:val="nil"/>
              <w:bottom w:val="single" w:sz="4" w:space="0" w:color="auto"/>
              <w:right w:val="single" w:sz="4" w:space="0" w:color="auto"/>
            </w:tcBorders>
            <w:vAlign w:val="center"/>
          </w:tcPr>
          <w:p w:rsidR="00E95537" w:rsidRDefault="00E95537" w:rsidP="00DA6D8E">
            <w:pPr>
              <w:widowControl/>
              <w:jc w:val="center"/>
              <w:rPr>
                <w:rFonts w:ascii="华文仿宋" w:eastAsia="华文仿宋" w:hAnsi="华文仿宋" w:cs="宋体"/>
                <w:kern w:val="0"/>
                <w:szCs w:val="21"/>
              </w:rPr>
            </w:pPr>
            <w:r>
              <w:rPr>
                <w:rFonts w:ascii="华文仿宋" w:eastAsia="华文仿宋" w:hAnsi="华文仿宋" w:cs="宋体" w:hint="eastAsia"/>
                <w:kern w:val="0"/>
                <w:szCs w:val="21"/>
              </w:rPr>
              <w:t>赵晓平</w:t>
            </w:r>
          </w:p>
        </w:tc>
      </w:tr>
    </w:tbl>
    <w:p w:rsidR="00C9166F" w:rsidRDefault="00C9166F">
      <w:pPr>
        <w:ind w:firstLineChars="200" w:firstLine="560"/>
        <w:rPr>
          <w:rFonts w:ascii="华文仿宋" w:eastAsia="华文仿宋" w:hAnsi="华文仿宋" w:cs="华文仿宋"/>
          <w:sz w:val="28"/>
          <w:szCs w:val="28"/>
        </w:rPr>
      </w:pPr>
    </w:p>
    <w:sectPr w:rsidR="00C91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DC2" w:rsidRDefault="00B71DC2" w:rsidP="00E95537">
      <w:r>
        <w:separator/>
      </w:r>
    </w:p>
  </w:endnote>
  <w:endnote w:type="continuationSeparator" w:id="0">
    <w:p w:rsidR="00B71DC2" w:rsidRDefault="00B71DC2" w:rsidP="00E9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DC2" w:rsidRDefault="00B71DC2" w:rsidP="00E95537">
      <w:r>
        <w:separator/>
      </w:r>
    </w:p>
  </w:footnote>
  <w:footnote w:type="continuationSeparator" w:id="0">
    <w:p w:rsidR="00B71DC2" w:rsidRDefault="00B71DC2" w:rsidP="00E9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9D805"/>
    <w:multiLevelType w:val="singleLevel"/>
    <w:tmpl w:val="55B9D8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87510"/>
    <w:rsid w:val="000022B3"/>
    <w:rsid w:val="0002640B"/>
    <w:rsid w:val="000732AA"/>
    <w:rsid w:val="00087510"/>
    <w:rsid w:val="00093C2F"/>
    <w:rsid w:val="001116F7"/>
    <w:rsid w:val="00133F24"/>
    <w:rsid w:val="00312450"/>
    <w:rsid w:val="00350D8B"/>
    <w:rsid w:val="00351496"/>
    <w:rsid w:val="003549DF"/>
    <w:rsid w:val="00361FB0"/>
    <w:rsid w:val="004366A3"/>
    <w:rsid w:val="00465BAC"/>
    <w:rsid w:val="0047200C"/>
    <w:rsid w:val="00483014"/>
    <w:rsid w:val="004E5B00"/>
    <w:rsid w:val="005001F5"/>
    <w:rsid w:val="00535436"/>
    <w:rsid w:val="005C3404"/>
    <w:rsid w:val="005F25D6"/>
    <w:rsid w:val="00650317"/>
    <w:rsid w:val="007425A0"/>
    <w:rsid w:val="00750725"/>
    <w:rsid w:val="0075333E"/>
    <w:rsid w:val="00774B8A"/>
    <w:rsid w:val="007B40D7"/>
    <w:rsid w:val="00845141"/>
    <w:rsid w:val="008850B2"/>
    <w:rsid w:val="008B12E4"/>
    <w:rsid w:val="00935FD2"/>
    <w:rsid w:val="00951A22"/>
    <w:rsid w:val="009A6C79"/>
    <w:rsid w:val="00A05771"/>
    <w:rsid w:val="00AB524F"/>
    <w:rsid w:val="00AD3BBD"/>
    <w:rsid w:val="00AE24D5"/>
    <w:rsid w:val="00AF2BAD"/>
    <w:rsid w:val="00B147E4"/>
    <w:rsid w:val="00B71DC2"/>
    <w:rsid w:val="00BD108B"/>
    <w:rsid w:val="00C9166F"/>
    <w:rsid w:val="00D42A3E"/>
    <w:rsid w:val="00D510FC"/>
    <w:rsid w:val="00DB39B6"/>
    <w:rsid w:val="00E95537"/>
    <w:rsid w:val="00E97F7E"/>
    <w:rsid w:val="00ED6284"/>
    <w:rsid w:val="00EE1B52"/>
    <w:rsid w:val="00F17D85"/>
    <w:rsid w:val="00F206B2"/>
    <w:rsid w:val="00F3458B"/>
    <w:rsid w:val="00F62008"/>
    <w:rsid w:val="00F73920"/>
    <w:rsid w:val="3E15647A"/>
    <w:rsid w:val="5F3509E3"/>
    <w:rsid w:val="7EB1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HTML Acronym" w:semiHidden="0"/>
    <w:lsdException w:name="HTML Cite" w:semiHidden="0"/>
    <w:lsdException w:name="HTML Code" w:semiHidden="0"/>
    <w:lsdException w:name="HTML Definition" w:semiHidden="0"/>
    <w:lsdException w:name="HTML Variable" w:semiHidden="0"/>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jc w:val="left"/>
    </w:pPr>
    <w:rPr>
      <w:color w:val="2B2B2B"/>
      <w:kern w:val="0"/>
      <w:sz w:val="24"/>
    </w:rPr>
  </w:style>
  <w:style w:type="character" w:styleId="a6">
    <w:name w:val="Strong"/>
    <w:basedOn w:val="a0"/>
    <w:uiPriority w:val="22"/>
    <w:qFormat/>
    <w:rPr>
      <w:b/>
    </w:rPr>
  </w:style>
  <w:style w:type="character" w:styleId="a7">
    <w:name w:val="FollowedHyperlink"/>
    <w:basedOn w:val="a0"/>
    <w:unhideWhenUsed/>
    <w:rPr>
      <w:color w:val="2B2B2B"/>
      <w:u w:val="none"/>
    </w:rPr>
  </w:style>
  <w:style w:type="character" w:styleId="a8">
    <w:name w:val="Emphasis"/>
    <w:basedOn w:val="a0"/>
    <w:uiPriority w:val="20"/>
    <w:qFormat/>
  </w:style>
  <w:style w:type="character" w:styleId="HTML">
    <w:name w:val="HTML Definition"/>
    <w:basedOn w:val="a0"/>
    <w:unhideWhenUsed/>
  </w:style>
  <w:style w:type="character" w:styleId="HTML0">
    <w:name w:val="HTML Acronym"/>
    <w:basedOn w:val="a0"/>
    <w:unhideWhenUsed/>
  </w:style>
  <w:style w:type="character" w:styleId="HTML1">
    <w:name w:val="HTML Variable"/>
    <w:basedOn w:val="a0"/>
    <w:unhideWhenUsed/>
  </w:style>
  <w:style w:type="character" w:styleId="a9">
    <w:name w:val="Hyperlink"/>
    <w:basedOn w:val="a0"/>
    <w:unhideWhenUsed/>
    <w:rPr>
      <w:color w:val="2B2B2B"/>
      <w:u w:val="none"/>
    </w:rPr>
  </w:style>
  <w:style w:type="character" w:styleId="HTML2">
    <w:name w:val="HTML Code"/>
    <w:basedOn w:val="a0"/>
    <w:unhideWhenUsed/>
    <w:rPr>
      <w:rFonts w:ascii="Courier New" w:hAnsi="Courier New"/>
      <w:sz w:val="20"/>
    </w:rPr>
  </w:style>
  <w:style w:type="character" w:styleId="HTML3">
    <w:name w:val="HTML Cite"/>
    <w:basedOn w:val="a0"/>
    <w:unhideWhenUsed/>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hover">
    <w:name w:val="hover"/>
    <w:basedOn w:val="a0"/>
  </w:style>
  <w:style w:type="character" w:customStyle="1" w:styleId="hover1">
    <w:name w:val="hover1"/>
    <w:basedOn w:val="a0"/>
  </w:style>
  <w:style w:type="character" w:customStyle="1" w:styleId="bsharetext">
    <w:name w:val="bsharetext"/>
    <w:basedOn w:val="a0"/>
  </w:style>
  <w:style w:type="character" w:customStyle="1" w:styleId="hover5">
    <w:name w:val="hover5"/>
    <w:basedOn w:val="a0"/>
  </w:style>
  <w:style w:type="character" w:customStyle="1" w:styleId="hover6">
    <w:name w:val="hover6"/>
    <w:basedOn w:val="a0"/>
  </w:style>
  <w:style w:type="character" w:customStyle="1" w:styleId="hover7">
    <w:name w:val="hover7"/>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273</Words>
  <Characters>1560</Characters>
  <Application>Microsoft Office Word</Application>
  <DocSecurity>0</DocSecurity>
  <Lines>13</Lines>
  <Paragraphs>3</Paragraphs>
  <ScaleCrop>false</ScaleCrop>
  <Company>Microsoft</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陕西中医药大学高校科技创新与服务项目</dc:title>
  <dc:creator>lenovo</dc:creator>
  <cp:lastModifiedBy>admin</cp:lastModifiedBy>
  <cp:revision>7</cp:revision>
  <dcterms:created xsi:type="dcterms:W3CDTF">2015-07-29T10:08:00Z</dcterms:created>
  <dcterms:modified xsi:type="dcterms:W3CDTF">2015-08-03T01:49:00Z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