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35B75">
      <w:pPr>
        <w:jc w:val="center"/>
        <w:rPr>
          <w:rFonts w:ascii="仿宋" w:hAnsi="仿宋" w:eastAsia="仿宋" w:cs="仿宋"/>
          <w:sz w:val="32"/>
          <w:szCs w:val="32"/>
        </w:rPr>
      </w:pPr>
      <w:r>
        <w:rPr>
          <w:rFonts w:hint="eastAsia" w:ascii="方正小标宋简体" w:hAnsi="方正小标宋简体" w:eastAsia="方正小标宋简体" w:cs="方正小标宋简体"/>
          <w:sz w:val="36"/>
          <w:szCs w:val="36"/>
        </w:rPr>
        <w:t>中医药大数据与人工智能微专业招生简章</w:t>
      </w:r>
    </w:p>
    <w:p w14:paraId="2DC60692">
      <w:pPr>
        <w:spacing w:line="560" w:lineRule="exact"/>
        <w:rPr>
          <w:rFonts w:ascii="仿宋_GB2312" w:hAnsi="仿宋_GB2312" w:eastAsia="仿宋_GB2312" w:cs="仿宋_GB2312"/>
          <w:sz w:val="32"/>
          <w:szCs w:val="32"/>
        </w:rPr>
      </w:pPr>
      <w:r>
        <w:rPr>
          <w:rFonts w:hint="eastAsia" w:ascii="黑体" w:hAnsi="黑体" w:eastAsia="黑体" w:cs="黑体"/>
          <w:sz w:val="32"/>
          <w:szCs w:val="32"/>
        </w:rPr>
        <w:t>一、微专业简介</w:t>
      </w:r>
    </w:p>
    <w:p w14:paraId="5833C21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随着全球范围内对医疗健康领域的投入不断增加，以及大数据和人工智能技术的快速发展，这些技术的应用不仅提升了医药行业的效率和精准度，还创造了大量新的就业机会和职业需求，社会对于医药大数据与人工智能高层次人才的需求将持续增长。</w:t>
      </w:r>
    </w:p>
    <w:p w14:paraId="5E36692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医药大数据与人工智能微专业特色在于其综合性和前沿性。核心课程涵盖中医药领域的基本理论和实践知识，包括深度学习（研究方法类）、药物设计（技术类）、智能医药学导论（技术前沿类）、医药数据挖掘（数据分析类）、智能物联网（技术前沿）五门课程。主要采用理论和实践相结合的方式，通过引入药学和人工智能等多学科交叉的最新知识与技术，培养学生掌握中医药学、人工智能等领域的专业知识，重点培养应用人工智能技术开展中医药创制研究和转化应用的复合型能力。</w:t>
      </w:r>
    </w:p>
    <w:p w14:paraId="5C3162B7">
      <w:pPr>
        <w:spacing w:line="560" w:lineRule="exact"/>
        <w:rPr>
          <w:rFonts w:ascii="仿宋_GB2312" w:hAnsi="仿宋_GB2312" w:eastAsia="仿宋_GB2312" w:cs="仿宋_GB2312"/>
          <w:color w:val="0000FF"/>
          <w:sz w:val="32"/>
          <w:szCs w:val="32"/>
        </w:rPr>
      </w:pPr>
      <w:r>
        <w:rPr>
          <w:rFonts w:hint="eastAsia" w:ascii="黑体" w:hAnsi="黑体" w:eastAsia="黑体" w:cs="黑体"/>
          <w:sz w:val="32"/>
          <w:szCs w:val="32"/>
        </w:rPr>
        <w:t>二、培养目标</w:t>
      </w:r>
    </w:p>
    <w:p w14:paraId="1E4485C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微专业旨在培养一批具备创新精神、能够应用多学科交叉知识开展掌握医药大数据与人工智能技能的复合型人才，满足学生个性化、多元化的发展需求，提高学生就业竞争力、发展适应力、国际胜任力，将为中医药科技自立自强的国家发展战略提供技术支撑和人才保障。</w:t>
      </w:r>
    </w:p>
    <w:p w14:paraId="7AE40BC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具体目标如下：</w:t>
      </w:r>
    </w:p>
    <w:p w14:paraId="7445334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（1）掌握人工智能的基本原理、方法和技术，包括但不限于机器学习、深度学习、计算机视觉等。</w:t>
      </w:r>
    </w:p>
    <w:p w14:paraId="17B7FD0D">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（2）能够运用数据挖掘和数据管理，以指导公共卫生决策及为临床为病人</w:t>
      </w:r>
      <w:r>
        <w:rPr>
          <w:rFonts w:ascii="仿宋_GB2312" w:hAnsi="仿宋_GB2312" w:eastAsia="仿宋_GB2312" w:cs="仿宋_GB2312"/>
          <w:sz w:val="32"/>
          <w:szCs w:val="32"/>
        </w:rPr>
        <w:t>提供个性化的治疗方案，提高临床决策的准确性和效率。</w:t>
      </w:r>
    </w:p>
    <w:p w14:paraId="1B09D26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（3）具备终身学习能力，能够不断跟踪人工智能技术的最新发展，适应技术进步和职业发展的需要。</w:t>
      </w:r>
    </w:p>
    <w:p w14:paraId="35BC8784">
      <w:pPr>
        <w:spacing w:line="560" w:lineRule="exact"/>
        <w:rPr>
          <w:rFonts w:ascii="黑体" w:hAnsi="黑体" w:eastAsia="黑体" w:cs="黑体"/>
          <w:sz w:val="32"/>
          <w:szCs w:val="32"/>
        </w:rPr>
      </w:pPr>
      <w:r>
        <w:rPr>
          <w:rFonts w:hint="eastAsia" w:ascii="黑体" w:hAnsi="黑体" w:eastAsia="黑体" w:cs="黑体"/>
          <w:sz w:val="32"/>
          <w:szCs w:val="32"/>
        </w:rPr>
        <w:t>三、招生对象及要求</w:t>
      </w:r>
    </w:p>
    <w:p w14:paraId="597C9DF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对学生所在年级、学科和专业、先修课程、成绩等的要求。</w:t>
      </w:r>
    </w:p>
    <w:p w14:paraId="16730BA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1.人数：预计招收20人。</w:t>
      </w:r>
    </w:p>
    <w:p w14:paraId="4BD1C9E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2.对象：2026年春季学期进入大二阶段及以上的本科生，有中医、中西结合、公共卫生管理、药学/中药学背景。</w:t>
      </w:r>
    </w:p>
    <w:p w14:paraId="3FA5355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3.先修课程要求：计算机。</w:t>
      </w:r>
    </w:p>
    <w:p w14:paraId="5F056F2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4.学生完成微专业全部课程学习，并考核合格后，获得陕西中医药大学《微专业结业证书》。</w:t>
      </w:r>
    </w:p>
    <w:p w14:paraId="423449F5">
      <w:pPr>
        <w:spacing w:line="560" w:lineRule="exact"/>
        <w:rPr>
          <w:rFonts w:ascii="黑体" w:hAnsi="黑体" w:eastAsia="黑体" w:cs="黑体"/>
          <w:sz w:val="32"/>
          <w:szCs w:val="32"/>
        </w:rPr>
      </w:pPr>
      <w:r>
        <w:rPr>
          <w:rFonts w:hint="eastAsia" w:ascii="黑体" w:hAnsi="黑体" w:eastAsia="黑体" w:cs="黑体"/>
          <w:sz w:val="32"/>
          <w:szCs w:val="32"/>
        </w:rPr>
        <w:t>四、课程设置</w:t>
      </w:r>
    </w:p>
    <w:p w14:paraId="55F24EBD">
      <w:pPr>
        <w:spacing w:line="560" w:lineRule="exact"/>
        <w:jc w:val="center"/>
        <w:rPr>
          <w:rFonts w:ascii="仿宋" w:hAnsi="仿宋" w:eastAsia="仿宋" w:cs="仿宋"/>
          <w:sz w:val="32"/>
          <w:szCs w:val="32"/>
        </w:rPr>
      </w:pPr>
      <w:r>
        <w:rPr>
          <w:rFonts w:hint="eastAsia" w:ascii="仿宋_GB2312" w:hAnsi="仿宋_GB2312" w:eastAsia="仿宋_GB2312" w:cs="仿宋_GB2312"/>
          <w:sz w:val="32"/>
          <w:szCs w:val="32"/>
        </w:rPr>
        <w:t>陕西中医药大学“中医药大数据与人工智能”微专业课程设置及学时分配表</w:t>
      </w:r>
    </w:p>
    <w:tbl>
      <w:tblPr>
        <w:tblStyle w:val="5"/>
        <w:tblW w:w="59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4"/>
        <w:gridCol w:w="624"/>
        <w:gridCol w:w="630"/>
        <w:gridCol w:w="660"/>
        <w:gridCol w:w="696"/>
        <w:gridCol w:w="660"/>
        <w:gridCol w:w="710"/>
        <w:gridCol w:w="876"/>
        <w:gridCol w:w="743"/>
        <w:gridCol w:w="1193"/>
        <w:gridCol w:w="848"/>
        <w:gridCol w:w="1088"/>
      </w:tblGrid>
      <w:tr w14:paraId="59956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01" w:hRule="exact"/>
          <w:jc w:val="center"/>
        </w:trPr>
        <w:tc>
          <w:tcPr>
            <w:tcW w:w="676" w:type="pct"/>
            <w:vMerge w:val="restart"/>
            <w:vAlign w:val="center"/>
          </w:tcPr>
          <w:p w14:paraId="7CCC84D5">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课程名称</w:t>
            </w:r>
          </w:p>
        </w:tc>
        <w:tc>
          <w:tcPr>
            <w:tcW w:w="309" w:type="pct"/>
            <w:vMerge w:val="restart"/>
            <w:vAlign w:val="center"/>
          </w:tcPr>
          <w:p w14:paraId="1E996FA8">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学分</w:t>
            </w:r>
          </w:p>
        </w:tc>
        <w:tc>
          <w:tcPr>
            <w:tcW w:w="312" w:type="pct"/>
            <w:vMerge w:val="restart"/>
            <w:vAlign w:val="center"/>
          </w:tcPr>
          <w:p w14:paraId="6F13B195">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学时</w:t>
            </w:r>
          </w:p>
        </w:tc>
        <w:tc>
          <w:tcPr>
            <w:tcW w:w="1351" w:type="pct"/>
            <w:gridSpan w:val="4"/>
            <w:vAlign w:val="center"/>
          </w:tcPr>
          <w:p w14:paraId="5689FF06">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学时分配</w:t>
            </w:r>
          </w:p>
        </w:tc>
        <w:tc>
          <w:tcPr>
            <w:tcW w:w="434" w:type="pct"/>
            <w:vMerge w:val="restart"/>
            <w:vAlign w:val="center"/>
          </w:tcPr>
          <w:p w14:paraId="0C424CCA">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开课</w:t>
            </w:r>
          </w:p>
          <w:p w14:paraId="4ED98D68">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学期</w:t>
            </w:r>
          </w:p>
        </w:tc>
        <w:tc>
          <w:tcPr>
            <w:tcW w:w="368" w:type="pct"/>
            <w:vMerge w:val="restart"/>
            <w:vAlign w:val="center"/>
          </w:tcPr>
          <w:p w14:paraId="725E48B9">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考核方式</w:t>
            </w:r>
          </w:p>
        </w:tc>
        <w:tc>
          <w:tcPr>
            <w:tcW w:w="591" w:type="pct"/>
            <w:vMerge w:val="restart"/>
            <w:vAlign w:val="center"/>
          </w:tcPr>
          <w:p w14:paraId="4A68BD55">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先修</w:t>
            </w:r>
          </w:p>
          <w:p w14:paraId="2B131943">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snapToGrid w:val="0"/>
                <w:spacing w:val="-14"/>
                <w:kern w:val="21"/>
                <w:sz w:val="24"/>
              </w:rPr>
              <w:t>课程</w:t>
            </w:r>
          </w:p>
        </w:tc>
        <w:tc>
          <w:tcPr>
            <w:tcW w:w="420" w:type="pct"/>
            <w:vMerge w:val="restart"/>
            <w:vAlign w:val="center"/>
          </w:tcPr>
          <w:p w14:paraId="1D9888A7">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授课教师</w:t>
            </w:r>
          </w:p>
        </w:tc>
        <w:tc>
          <w:tcPr>
            <w:tcW w:w="537" w:type="pct"/>
            <w:vMerge w:val="restart"/>
            <w:vAlign w:val="center"/>
          </w:tcPr>
          <w:p w14:paraId="78032CFB">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snapToGrid w:val="0"/>
                <w:spacing w:val="-14"/>
                <w:kern w:val="21"/>
                <w:sz w:val="24"/>
              </w:rPr>
              <w:t>开课单位</w:t>
            </w:r>
          </w:p>
        </w:tc>
      </w:tr>
      <w:tr w14:paraId="42F2F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676" w:type="pct"/>
            <w:vMerge w:val="continue"/>
            <w:vAlign w:val="center"/>
          </w:tcPr>
          <w:p w14:paraId="3DBAA73B">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309" w:type="pct"/>
            <w:vMerge w:val="continue"/>
            <w:vAlign w:val="center"/>
          </w:tcPr>
          <w:p w14:paraId="056330F6">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312" w:type="pct"/>
            <w:vMerge w:val="continue"/>
            <w:vAlign w:val="center"/>
          </w:tcPr>
          <w:p w14:paraId="69B8C5F6">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672" w:type="pct"/>
            <w:gridSpan w:val="2"/>
            <w:vAlign w:val="center"/>
          </w:tcPr>
          <w:p w14:paraId="74047C16">
            <w:pPr>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kern w:val="0"/>
                <w:sz w:val="24"/>
              </w:rPr>
              <w:t>理论学时</w:t>
            </w:r>
          </w:p>
        </w:tc>
        <w:tc>
          <w:tcPr>
            <w:tcW w:w="678" w:type="pct"/>
            <w:gridSpan w:val="2"/>
            <w:vAlign w:val="center"/>
          </w:tcPr>
          <w:p w14:paraId="49CF7129">
            <w:pPr>
              <w:jc w:val="center"/>
              <w:rPr>
                <w:rFonts w:ascii="仿宋_GB2312" w:hAnsi="仿宋_GB2312" w:eastAsia="仿宋_GB2312" w:cs="仿宋_GB2312"/>
                <w:b/>
                <w:bCs/>
                <w:snapToGrid w:val="0"/>
                <w:spacing w:val="-14"/>
                <w:kern w:val="21"/>
                <w:sz w:val="24"/>
              </w:rPr>
            </w:pPr>
            <w:r>
              <w:rPr>
                <w:rFonts w:hint="eastAsia" w:ascii="仿宋_GB2312" w:hAnsi="仿宋_GB2312" w:eastAsia="仿宋_GB2312" w:cs="仿宋_GB2312"/>
                <w:b/>
                <w:bCs/>
                <w:kern w:val="0"/>
                <w:sz w:val="24"/>
              </w:rPr>
              <w:t>实践学时</w:t>
            </w:r>
          </w:p>
        </w:tc>
        <w:tc>
          <w:tcPr>
            <w:tcW w:w="434" w:type="pct"/>
            <w:vMerge w:val="continue"/>
            <w:vAlign w:val="center"/>
          </w:tcPr>
          <w:p w14:paraId="4213B782">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368" w:type="pct"/>
            <w:vMerge w:val="continue"/>
            <w:vAlign w:val="center"/>
          </w:tcPr>
          <w:p w14:paraId="56CAD22A">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c>
          <w:tcPr>
            <w:tcW w:w="591" w:type="pct"/>
            <w:vMerge w:val="continue"/>
            <w:vAlign w:val="center"/>
          </w:tcPr>
          <w:p w14:paraId="342A62AF">
            <w:pPr>
              <w:kinsoku w:val="0"/>
              <w:overflowPunct w:val="0"/>
              <w:autoSpaceDE w:val="0"/>
              <w:autoSpaceDN w:val="0"/>
              <w:adjustRightInd w:val="0"/>
              <w:snapToGrid w:val="0"/>
              <w:jc w:val="left"/>
              <w:rPr>
                <w:rFonts w:ascii="仿宋_GB2312" w:hAnsi="仿宋_GB2312" w:eastAsia="仿宋_GB2312" w:cs="仿宋_GB2312"/>
                <w:b/>
                <w:bCs/>
                <w:snapToGrid w:val="0"/>
                <w:spacing w:val="-14"/>
                <w:kern w:val="21"/>
                <w:sz w:val="24"/>
              </w:rPr>
            </w:pPr>
          </w:p>
        </w:tc>
        <w:tc>
          <w:tcPr>
            <w:tcW w:w="420" w:type="pct"/>
            <w:vMerge w:val="continue"/>
            <w:vAlign w:val="center"/>
          </w:tcPr>
          <w:p w14:paraId="39E62734">
            <w:pPr>
              <w:kinsoku w:val="0"/>
              <w:overflowPunct w:val="0"/>
              <w:autoSpaceDE w:val="0"/>
              <w:autoSpaceDN w:val="0"/>
              <w:adjustRightInd w:val="0"/>
              <w:snapToGrid w:val="0"/>
              <w:jc w:val="left"/>
              <w:rPr>
                <w:rFonts w:ascii="仿宋_GB2312" w:hAnsi="仿宋_GB2312" w:eastAsia="仿宋_GB2312" w:cs="仿宋_GB2312"/>
                <w:b/>
                <w:bCs/>
                <w:snapToGrid w:val="0"/>
                <w:spacing w:val="-14"/>
                <w:kern w:val="21"/>
                <w:sz w:val="24"/>
              </w:rPr>
            </w:pPr>
          </w:p>
        </w:tc>
        <w:tc>
          <w:tcPr>
            <w:tcW w:w="537" w:type="pct"/>
            <w:vMerge w:val="continue"/>
            <w:vAlign w:val="center"/>
          </w:tcPr>
          <w:p w14:paraId="730604E3">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 w:val="24"/>
              </w:rPr>
            </w:pPr>
          </w:p>
        </w:tc>
      </w:tr>
      <w:tr w14:paraId="6EA84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17" w:hRule="exact"/>
          <w:jc w:val="center"/>
        </w:trPr>
        <w:tc>
          <w:tcPr>
            <w:tcW w:w="676" w:type="pct"/>
            <w:vMerge w:val="continue"/>
            <w:vAlign w:val="center"/>
          </w:tcPr>
          <w:p w14:paraId="23E7C638">
            <w:pPr>
              <w:kinsoku w:val="0"/>
              <w:overflowPunct w:val="0"/>
              <w:autoSpaceDE w:val="0"/>
              <w:autoSpaceDN w:val="0"/>
              <w:adjustRightInd w:val="0"/>
              <w:snapToGrid w:val="0"/>
              <w:jc w:val="left"/>
              <w:rPr>
                <w:rFonts w:ascii="仿宋_GB2312" w:hAnsi="仿宋_GB2312" w:eastAsia="仿宋_GB2312" w:cs="仿宋_GB2312"/>
                <w:snapToGrid w:val="0"/>
                <w:color w:val="0000FF"/>
                <w:spacing w:val="-14"/>
                <w:kern w:val="21"/>
                <w:sz w:val="24"/>
              </w:rPr>
            </w:pPr>
          </w:p>
        </w:tc>
        <w:tc>
          <w:tcPr>
            <w:tcW w:w="309" w:type="pct"/>
            <w:vMerge w:val="continue"/>
            <w:vAlign w:val="center"/>
          </w:tcPr>
          <w:p w14:paraId="2B78E05B">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p>
        </w:tc>
        <w:tc>
          <w:tcPr>
            <w:tcW w:w="312" w:type="pct"/>
            <w:vMerge w:val="continue"/>
            <w:vAlign w:val="center"/>
          </w:tcPr>
          <w:p w14:paraId="1A9EA010">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p>
        </w:tc>
        <w:tc>
          <w:tcPr>
            <w:tcW w:w="327" w:type="pct"/>
            <w:vAlign w:val="center"/>
          </w:tcPr>
          <w:p w14:paraId="483FEFDD">
            <w:pPr>
              <w:widowControl/>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kern w:val="0"/>
                <w:sz w:val="24"/>
              </w:rPr>
              <w:t>线下</w:t>
            </w:r>
          </w:p>
        </w:tc>
        <w:tc>
          <w:tcPr>
            <w:tcW w:w="344" w:type="pct"/>
            <w:vAlign w:val="center"/>
          </w:tcPr>
          <w:p w14:paraId="40563109">
            <w:pPr>
              <w:widowControl/>
              <w:jc w:val="center"/>
              <w:rPr>
                <w:rFonts w:ascii="仿宋_GB2312" w:hAnsi="仿宋_GB2312" w:eastAsia="仿宋_GB2312" w:cs="仿宋_GB2312"/>
                <w:sz w:val="24"/>
              </w:rPr>
            </w:pPr>
            <w:r>
              <w:rPr>
                <w:rFonts w:hint="eastAsia" w:ascii="仿宋_GB2312" w:hAnsi="仿宋_GB2312" w:eastAsia="仿宋_GB2312" w:cs="仿宋_GB2312"/>
                <w:b/>
                <w:bCs/>
                <w:kern w:val="0"/>
                <w:sz w:val="24"/>
              </w:rPr>
              <w:t>线上</w:t>
            </w:r>
          </w:p>
        </w:tc>
        <w:tc>
          <w:tcPr>
            <w:tcW w:w="327" w:type="pct"/>
            <w:vAlign w:val="center"/>
          </w:tcPr>
          <w:p w14:paraId="451F5681">
            <w:pPr>
              <w:widowControl/>
              <w:jc w:val="center"/>
              <w:rPr>
                <w:rFonts w:ascii="仿宋_GB2312" w:hAnsi="仿宋_GB2312" w:eastAsia="仿宋_GB2312" w:cs="仿宋_GB2312"/>
                <w:snapToGrid w:val="0"/>
                <w:color w:val="0000FF"/>
                <w:spacing w:val="-14"/>
                <w:kern w:val="21"/>
                <w:sz w:val="24"/>
              </w:rPr>
            </w:pPr>
            <w:r>
              <w:rPr>
                <w:rFonts w:hint="eastAsia" w:ascii="仿宋_GB2312" w:hAnsi="仿宋_GB2312" w:eastAsia="仿宋_GB2312" w:cs="仿宋_GB2312"/>
                <w:b/>
                <w:bCs/>
                <w:kern w:val="0"/>
                <w:sz w:val="24"/>
              </w:rPr>
              <w:t>线下</w:t>
            </w:r>
          </w:p>
        </w:tc>
        <w:tc>
          <w:tcPr>
            <w:tcW w:w="350" w:type="pct"/>
            <w:vAlign w:val="center"/>
          </w:tcPr>
          <w:p w14:paraId="4FA7B899">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线</w:t>
            </w:r>
          </w:p>
          <w:p w14:paraId="6B2FB93D">
            <w:pPr>
              <w:widowControl/>
              <w:jc w:val="center"/>
              <w:rPr>
                <w:rFonts w:ascii="仿宋_GB2312" w:hAnsi="仿宋_GB2312" w:eastAsia="仿宋_GB2312" w:cs="仿宋_GB2312"/>
                <w:sz w:val="24"/>
              </w:rPr>
            </w:pPr>
            <w:r>
              <w:rPr>
                <w:rFonts w:hint="eastAsia" w:ascii="仿宋_GB2312" w:hAnsi="仿宋_GB2312" w:eastAsia="仿宋_GB2312" w:cs="仿宋_GB2312"/>
                <w:b/>
                <w:bCs/>
                <w:kern w:val="0"/>
                <w:sz w:val="24"/>
              </w:rPr>
              <w:t>上</w:t>
            </w:r>
          </w:p>
        </w:tc>
        <w:tc>
          <w:tcPr>
            <w:tcW w:w="434" w:type="pct"/>
            <w:vMerge w:val="continue"/>
            <w:vAlign w:val="center"/>
          </w:tcPr>
          <w:p w14:paraId="35EAD6B3">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p>
        </w:tc>
        <w:tc>
          <w:tcPr>
            <w:tcW w:w="368" w:type="pct"/>
            <w:vMerge w:val="continue"/>
            <w:vAlign w:val="center"/>
          </w:tcPr>
          <w:p w14:paraId="3BC36324">
            <w:pPr>
              <w:kinsoku w:val="0"/>
              <w:overflowPunct w:val="0"/>
              <w:autoSpaceDE w:val="0"/>
              <w:autoSpaceDN w:val="0"/>
              <w:adjustRightInd w:val="0"/>
              <w:snapToGrid w:val="0"/>
              <w:jc w:val="center"/>
              <w:rPr>
                <w:rFonts w:ascii="仿宋_GB2312" w:hAnsi="仿宋_GB2312" w:eastAsia="仿宋_GB2312" w:cs="仿宋_GB2312"/>
                <w:snapToGrid w:val="0"/>
                <w:color w:val="0000FF"/>
                <w:spacing w:val="-14"/>
                <w:kern w:val="21"/>
                <w:sz w:val="24"/>
              </w:rPr>
            </w:pPr>
          </w:p>
        </w:tc>
        <w:tc>
          <w:tcPr>
            <w:tcW w:w="591" w:type="pct"/>
            <w:vMerge w:val="continue"/>
            <w:vAlign w:val="center"/>
          </w:tcPr>
          <w:p w14:paraId="3C765FCD">
            <w:pPr>
              <w:kinsoku w:val="0"/>
              <w:overflowPunct w:val="0"/>
              <w:autoSpaceDE w:val="0"/>
              <w:autoSpaceDN w:val="0"/>
              <w:adjustRightInd w:val="0"/>
              <w:snapToGrid w:val="0"/>
              <w:jc w:val="left"/>
              <w:rPr>
                <w:rFonts w:ascii="仿宋_GB2312" w:hAnsi="仿宋_GB2312" w:eastAsia="仿宋_GB2312" w:cs="仿宋_GB2312"/>
                <w:snapToGrid w:val="0"/>
                <w:color w:val="0000FF"/>
                <w:spacing w:val="-14"/>
                <w:kern w:val="21"/>
                <w:sz w:val="24"/>
              </w:rPr>
            </w:pPr>
          </w:p>
        </w:tc>
        <w:tc>
          <w:tcPr>
            <w:tcW w:w="420" w:type="pct"/>
            <w:vMerge w:val="continue"/>
            <w:vAlign w:val="center"/>
          </w:tcPr>
          <w:p w14:paraId="4426296C">
            <w:pPr>
              <w:kinsoku w:val="0"/>
              <w:overflowPunct w:val="0"/>
              <w:autoSpaceDE w:val="0"/>
              <w:autoSpaceDN w:val="0"/>
              <w:adjustRightInd w:val="0"/>
              <w:snapToGrid w:val="0"/>
              <w:jc w:val="left"/>
              <w:rPr>
                <w:rFonts w:ascii="仿宋_GB2312" w:hAnsi="仿宋_GB2312" w:eastAsia="仿宋_GB2312" w:cs="仿宋_GB2312"/>
                <w:snapToGrid w:val="0"/>
                <w:color w:val="0000FF"/>
                <w:spacing w:val="-14"/>
                <w:kern w:val="21"/>
                <w:sz w:val="24"/>
              </w:rPr>
            </w:pPr>
          </w:p>
        </w:tc>
        <w:tc>
          <w:tcPr>
            <w:tcW w:w="537" w:type="pct"/>
            <w:vMerge w:val="continue"/>
            <w:vAlign w:val="center"/>
          </w:tcPr>
          <w:p w14:paraId="7C5DF5DF">
            <w:pPr>
              <w:snapToGrid w:val="0"/>
              <w:spacing w:line="240" w:lineRule="atLeast"/>
              <w:rPr>
                <w:rFonts w:ascii="仿宋_GB2312" w:hAnsi="仿宋_GB2312" w:eastAsia="仿宋_GB2312" w:cs="仿宋_GB2312"/>
                <w:snapToGrid w:val="0"/>
                <w:color w:val="0000FF"/>
                <w:spacing w:val="-14"/>
                <w:kern w:val="21"/>
                <w:sz w:val="24"/>
              </w:rPr>
            </w:pPr>
          </w:p>
        </w:tc>
      </w:tr>
      <w:tr w14:paraId="1D5DA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39" w:hRule="exact"/>
          <w:jc w:val="center"/>
        </w:trPr>
        <w:tc>
          <w:tcPr>
            <w:tcW w:w="676" w:type="pct"/>
            <w:vAlign w:val="center"/>
          </w:tcPr>
          <w:p w14:paraId="75971B67">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智能医药学导论</w:t>
            </w:r>
          </w:p>
        </w:tc>
        <w:tc>
          <w:tcPr>
            <w:tcW w:w="309" w:type="pct"/>
            <w:vAlign w:val="center"/>
          </w:tcPr>
          <w:p w14:paraId="227491C9">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2</w:t>
            </w:r>
          </w:p>
        </w:tc>
        <w:tc>
          <w:tcPr>
            <w:tcW w:w="312" w:type="pct"/>
            <w:vAlign w:val="center"/>
          </w:tcPr>
          <w:p w14:paraId="4992C0BF">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36</w:t>
            </w:r>
          </w:p>
        </w:tc>
        <w:tc>
          <w:tcPr>
            <w:tcW w:w="327" w:type="pct"/>
            <w:vAlign w:val="center"/>
          </w:tcPr>
          <w:p w14:paraId="5A6CA599">
            <w:pPr>
              <w:rPr>
                <w:rFonts w:ascii="仿宋_GB2312" w:hAnsi="仿宋_GB2312" w:eastAsia="仿宋_GB2312" w:cs="仿宋_GB2312"/>
                <w:snapToGrid w:val="0"/>
                <w:color w:val="000000" w:themeColor="text1"/>
                <w:spacing w:val="-14"/>
                <w:kern w:val="21"/>
                <w:sz w:val="24"/>
                <w14:textFill>
                  <w14:solidFill>
                    <w14:schemeClr w14:val="tx1"/>
                  </w14:solidFill>
                </w14:textFill>
              </w:rPr>
            </w:pPr>
          </w:p>
        </w:tc>
        <w:tc>
          <w:tcPr>
            <w:tcW w:w="344" w:type="pct"/>
            <w:vAlign w:val="center"/>
          </w:tcPr>
          <w:p w14:paraId="77FD4330">
            <w:pPr>
              <w:rPr>
                <w:rFonts w:ascii="仿宋_GB2312" w:hAnsi="仿宋_GB2312" w:eastAsia="仿宋_GB2312" w:cs="仿宋_GB2312"/>
                <w:color w:val="000000" w:themeColor="text1"/>
                <w:sz w:val="24"/>
                <w14:textFill>
                  <w14:solidFill>
                    <w14:schemeClr w14:val="tx1"/>
                  </w14:solidFill>
                </w14:textFill>
              </w:rPr>
            </w:pPr>
            <w:r>
              <w:rPr>
                <w:rFonts w:ascii="Arial" w:hAnsi="Arial" w:eastAsia="仿宋_GB2312" w:cs="Arial"/>
                <w:color w:val="000000" w:themeColor="text1"/>
                <w:sz w:val="24"/>
                <w14:textFill>
                  <w14:solidFill>
                    <w14:schemeClr w14:val="tx1"/>
                  </w14:solidFill>
                </w14:textFill>
              </w:rPr>
              <w:t>√</w:t>
            </w:r>
          </w:p>
        </w:tc>
        <w:tc>
          <w:tcPr>
            <w:tcW w:w="327" w:type="pct"/>
            <w:vAlign w:val="center"/>
          </w:tcPr>
          <w:p w14:paraId="2F8A6916">
            <w:pPr>
              <w:rPr>
                <w:rFonts w:ascii="仿宋_GB2312" w:hAnsi="仿宋_GB2312" w:eastAsia="仿宋_GB2312" w:cs="仿宋_GB2312"/>
                <w:snapToGrid w:val="0"/>
                <w:color w:val="000000" w:themeColor="text1"/>
                <w:spacing w:val="-14"/>
                <w:kern w:val="21"/>
                <w:sz w:val="24"/>
                <w14:textFill>
                  <w14:solidFill>
                    <w14:schemeClr w14:val="tx1"/>
                  </w14:solidFill>
                </w14:textFill>
              </w:rPr>
            </w:pPr>
          </w:p>
        </w:tc>
        <w:tc>
          <w:tcPr>
            <w:tcW w:w="350" w:type="pct"/>
            <w:vAlign w:val="center"/>
          </w:tcPr>
          <w:p w14:paraId="1AF88C35">
            <w:pPr>
              <w:rPr>
                <w:rFonts w:ascii="仿宋_GB2312" w:hAnsi="仿宋_GB2312" w:eastAsia="仿宋_GB2312" w:cs="仿宋_GB2312"/>
                <w:color w:val="000000" w:themeColor="text1"/>
                <w:sz w:val="24"/>
                <w14:textFill>
                  <w14:solidFill>
                    <w14:schemeClr w14:val="tx1"/>
                  </w14:solidFill>
                </w14:textFill>
              </w:rPr>
            </w:pPr>
          </w:p>
        </w:tc>
        <w:tc>
          <w:tcPr>
            <w:tcW w:w="434" w:type="pct"/>
            <w:vAlign w:val="center"/>
          </w:tcPr>
          <w:p w14:paraId="2C6DA8CD">
            <w:pPr>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lang w:val="en-US" w:eastAsia="zh-CN"/>
                <w14:textFill>
                  <w14:solidFill>
                    <w14:schemeClr w14:val="tx1"/>
                  </w14:solidFill>
                </w14:textFill>
              </w:rPr>
              <w:t>秋</w:t>
            </w: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季</w:t>
            </w:r>
          </w:p>
        </w:tc>
        <w:tc>
          <w:tcPr>
            <w:tcW w:w="368" w:type="pct"/>
            <w:vAlign w:val="center"/>
          </w:tcPr>
          <w:p w14:paraId="6A9A83B9">
            <w:pP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考查</w:t>
            </w:r>
          </w:p>
        </w:tc>
        <w:tc>
          <w:tcPr>
            <w:tcW w:w="591" w:type="pct"/>
            <w:vAlign w:val="center"/>
          </w:tcPr>
          <w:p w14:paraId="6BCB3F08">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计算机</w:t>
            </w:r>
          </w:p>
        </w:tc>
        <w:tc>
          <w:tcPr>
            <w:tcW w:w="420" w:type="pct"/>
            <w:vAlign w:val="center"/>
          </w:tcPr>
          <w:p w14:paraId="3CB6954F">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宋逍</w:t>
            </w:r>
          </w:p>
        </w:tc>
        <w:tc>
          <w:tcPr>
            <w:tcW w:w="537" w:type="pct"/>
          </w:tcPr>
          <w:p w14:paraId="4B513A79">
            <w:pPr>
              <w:snapToGrid w:val="0"/>
              <w:spacing w:line="240" w:lineRule="atLeas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基础医学院</w:t>
            </w:r>
          </w:p>
        </w:tc>
      </w:tr>
      <w:tr w14:paraId="063A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exact"/>
          <w:jc w:val="center"/>
        </w:trPr>
        <w:tc>
          <w:tcPr>
            <w:tcW w:w="676" w:type="pct"/>
            <w:vAlign w:val="center"/>
          </w:tcPr>
          <w:p w14:paraId="145F880F">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医药数据挖掘</w:t>
            </w:r>
          </w:p>
        </w:tc>
        <w:tc>
          <w:tcPr>
            <w:tcW w:w="309" w:type="pct"/>
            <w:vAlign w:val="center"/>
          </w:tcPr>
          <w:p w14:paraId="3BFB0C74">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2</w:t>
            </w:r>
          </w:p>
        </w:tc>
        <w:tc>
          <w:tcPr>
            <w:tcW w:w="312" w:type="pct"/>
            <w:vAlign w:val="center"/>
          </w:tcPr>
          <w:p w14:paraId="5F6672D7">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36</w:t>
            </w:r>
          </w:p>
        </w:tc>
        <w:tc>
          <w:tcPr>
            <w:tcW w:w="327" w:type="pct"/>
            <w:vAlign w:val="center"/>
          </w:tcPr>
          <w:p w14:paraId="5CBD8730">
            <w:pPr>
              <w:rPr>
                <w:rFonts w:ascii="仿宋_GB2312" w:hAnsi="仿宋_GB2312" w:eastAsia="仿宋_GB2312" w:cs="仿宋_GB2312"/>
                <w:snapToGrid w:val="0"/>
                <w:color w:val="000000" w:themeColor="text1"/>
                <w:spacing w:val="-14"/>
                <w:kern w:val="21"/>
                <w:sz w:val="24"/>
                <w14:textFill>
                  <w14:solidFill>
                    <w14:schemeClr w14:val="tx1"/>
                  </w14:solidFill>
                </w14:textFill>
              </w:rPr>
            </w:pPr>
          </w:p>
        </w:tc>
        <w:tc>
          <w:tcPr>
            <w:tcW w:w="344" w:type="pct"/>
            <w:vAlign w:val="center"/>
          </w:tcPr>
          <w:p w14:paraId="1CDD9928">
            <w:pPr>
              <w:rPr>
                <w:rFonts w:ascii="仿宋_GB2312" w:hAnsi="仿宋_GB2312" w:eastAsia="仿宋_GB2312" w:cs="仿宋_GB2312"/>
                <w:color w:val="000000" w:themeColor="text1"/>
                <w:sz w:val="24"/>
                <w14:textFill>
                  <w14:solidFill>
                    <w14:schemeClr w14:val="tx1"/>
                  </w14:solidFill>
                </w14:textFill>
              </w:rPr>
            </w:pPr>
            <w:r>
              <w:rPr>
                <w:rFonts w:ascii="Arial" w:hAnsi="Arial" w:eastAsia="仿宋_GB2312" w:cs="Arial"/>
                <w:color w:val="000000" w:themeColor="text1"/>
                <w:sz w:val="24"/>
                <w14:textFill>
                  <w14:solidFill>
                    <w14:schemeClr w14:val="tx1"/>
                  </w14:solidFill>
                </w14:textFill>
              </w:rPr>
              <w:t>√</w:t>
            </w:r>
          </w:p>
        </w:tc>
        <w:tc>
          <w:tcPr>
            <w:tcW w:w="327" w:type="pct"/>
            <w:vAlign w:val="center"/>
          </w:tcPr>
          <w:p w14:paraId="16E7423D">
            <w:pPr>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ascii="Arial" w:hAnsi="Arial" w:eastAsia="仿宋_GB2312" w:cs="Arial"/>
                <w:color w:val="000000" w:themeColor="text1"/>
                <w:sz w:val="24"/>
                <w14:textFill>
                  <w14:solidFill>
                    <w14:schemeClr w14:val="tx1"/>
                  </w14:solidFill>
                </w14:textFill>
              </w:rPr>
              <w:t>√</w:t>
            </w:r>
          </w:p>
        </w:tc>
        <w:tc>
          <w:tcPr>
            <w:tcW w:w="350" w:type="pct"/>
            <w:vAlign w:val="center"/>
          </w:tcPr>
          <w:p w14:paraId="15D13E99">
            <w:pPr>
              <w:rPr>
                <w:rFonts w:ascii="仿宋_GB2312" w:hAnsi="仿宋_GB2312" w:eastAsia="仿宋_GB2312" w:cs="仿宋_GB2312"/>
                <w:color w:val="000000" w:themeColor="text1"/>
                <w:sz w:val="24"/>
                <w14:textFill>
                  <w14:solidFill>
                    <w14:schemeClr w14:val="tx1"/>
                  </w14:solidFill>
                </w14:textFill>
              </w:rPr>
            </w:pPr>
          </w:p>
        </w:tc>
        <w:tc>
          <w:tcPr>
            <w:tcW w:w="434" w:type="pct"/>
            <w:vAlign w:val="center"/>
          </w:tcPr>
          <w:p w14:paraId="2FE6E5F3">
            <w:pPr>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春季</w:t>
            </w:r>
          </w:p>
        </w:tc>
        <w:tc>
          <w:tcPr>
            <w:tcW w:w="368" w:type="pct"/>
            <w:vAlign w:val="center"/>
          </w:tcPr>
          <w:p w14:paraId="386F5DEF">
            <w:pP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考查</w:t>
            </w:r>
          </w:p>
        </w:tc>
        <w:tc>
          <w:tcPr>
            <w:tcW w:w="591" w:type="pct"/>
            <w:vAlign w:val="center"/>
          </w:tcPr>
          <w:p w14:paraId="393CE470">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计算机</w:t>
            </w:r>
          </w:p>
        </w:tc>
        <w:tc>
          <w:tcPr>
            <w:tcW w:w="420" w:type="pct"/>
            <w:vAlign w:val="center"/>
          </w:tcPr>
          <w:p w14:paraId="7952C06F">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王旸</w:t>
            </w:r>
          </w:p>
        </w:tc>
        <w:tc>
          <w:tcPr>
            <w:tcW w:w="537" w:type="pct"/>
          </w:tcPr>
          <w:p w14:paraId="6E0A6E25">
            <w:pPr>
              <w:snapToGrid w:val="0"/>
              <w:spacing w:line="240" w:lineRule="atLeas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基础医学院</w:t>
            </w:r>
          </w:p>
        </w:tc>
      </w:tr>
      <w:tr w14:paraId="7812C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exact"/>
          <w:jc w:val="center"/>
        </w:trPr>
        <w:tc>
          <w:tcPr>
            <w:tcW w:w="676" w:type="pct"/>
            <w:vAlign w:val="center"/>
          </w:tcPr>
          <w:p w14:paraId="3507598C">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深度学习</w:t>
            </w:r>
          </w:p>
        </w:tc>
        <w:tc>
          <w:tcPr>
            <w:tcW w:w="309" w:type="pct"/>
            <w:vAlign w:val="center"/>
          </w:tcPr>
          <w:p w14:paraId="1FAA0765">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2</w:t>
            </w:r>
          </w:p>
        </w:tc>
        <w:tc>
          <w:tcPr>
            <w:tcW w:w="312" w:type="pct"/>
            <w:vAlign w:val="center"/>
          </w:tcPr>
          <w:p w14:paraId="05CC21A3">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36</w:t>
            </w:r>
          </w:p>
        </w:tc>
        <w:tc>
          <w:tcPr>
            <w:tcW w:w="327" w:type="pct"/>
            <w:vAlign w:val="center"/>
          </w:tcPr>
          <w:p w14:paraId="232D2540">
            <w:pPr>
              <w:rPr>
                <w:rFonts w:ascii="仿宋_GB2312" w:hAnsi="仿宋_GB2312" w:eastAsia="仿宋_GB2312" w:cs="仿宋_GB2312"/>
                <w:snapToGrid w:val="0"/>
                <w:color w:val="000000" w:themeColor="text1"/>
                <w:spacing w:val="-14"/>
                <w:kern w:val="21"/>
                <w:sz w:val="24"/>
                <w14:textFill>
                  <w14:solidFill>
                    <w14:schemeClr w14:val="tx1"/>
                  </w14:solidFill>
                </w14:textFill>
              </w:rPr>
            </w:pPr>
          </w:p>
        </w:tc>
        <w:tc>
          <w:tcPr>
            <w:tcW w:w="344" w:type="pct"/>
            <w:vAlign w:val="center"/>
          </w:tcPr>
          <w:p w14:paraId="6CDE12DA">
            <w:pPr>
              <w:rPr>
                <w:rFonts w:ascii="仿宋_GB2312" w:hAnsi="仿宋_GB2312" w:eastAsia="仿宋_GB2312" w:cs="仿宋_GB2312"/>
                <w:color w:val="000000" w:themeColor="text1"/>
                <w:sz w:val="24"/>
                <w14:textFill>
                  <w14:solidFill>
                    <w14:schemeClr w14:val="tx1"/>
                  </w14:solidFill>
                </w14:textFill>
              </w:rPr>
            </w:pPr>
            <w:r>
              <w:rPr>
                <w:rFonts w:ascii="Arial" w:hAnsi="Arial" w:eastAsia="仿宋_GB2312" w:cs="Arial"/>
                <w:color w:val="000000" w:themeColor="text1"/>
                <w:sz w:val="24"/>
                <w14:textFill>
                  <w14:solidFill>
                    <w14:schemeClr w14:val="tx1"/>
                  </w14:solidFill>
                </w14:textFill>
              </w:rPr>
              <w:t>√</w:t>
            </w:r>
          </w:p>
        </w:tc>
        <w:tc>
          <w:tcPr>
            <w:tcW w:w="327" w:type="pct"/>
            <w:vAlign w:val="center"/>
          </w:tcPr>
          <w:p w14:paraId="6FF67B86">
            <w:pPr>
              <w:rPr>
                <w:rFonts w:ascii="仿宋_GB2312" w:hAnsi="仿宋_GB2312" w:eastAsia="仿宋_GB2312" w:cs="仿宋_GB2312"/>
                <w:snapToGrid w:val="0"/>
                <w:color w:val="000000" w:themeColor="text1"/>
                <w:spacing w:val="-14"/>
                <w:kern w:val="21"/>
                <w:sz w:val="24"/>
                <w14:textFill>
                  <w14:solidFill>
                    <w14:schemeClr w14:val="tx1"/>
                  </w14:solidFill>
                </w14:textFill>
              </w:rPr>
            </w:pPr>
          </w:p>
        </w:tc>
        <w:tc>
          <w:tcPr>
            <w:tcW w:w="350" w:type="pct"/>
            <w:vAlign w:val="center"/>
          </w:tcPr>
          <w:p w14:paraId="6BC7EE03">
            <w:pPr>
              <w:rPr>
                <w:rFonts w:ascii="仿宋_GB2312" w:hAnsi="仿宋_GB2312" w:eastAsia="仿宋_GB2312" w:cs="仿宋_GB2312"/>
                <w:color w:val="000000" w:themeColor="text1"/>
                <w:sz w:val="24"/>
                <w14:textFill>
                  <w14:solidFill>
                    <w14:schemeClr w14:val="tx1"/>
                  </w14:solidFill>
                </w14:textFill>
              </w:rPr>
            </w:pPr>
          </w:p>
        </w:tc>
        <w:tc>
          <w:tcPr>
            <w:tcW w:w="434" w:type="pct"/>
            <w:vAlign w:val="center"/>
          </w:tcPr>
          <w:p w14:paraId="78CA8DBA">
            <w:pPr>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春季</w:t>
            </w:r>
          </w:p>
        </w:tc>
        <w:tc>
          <w:tcPr>
            <w:tcW w:w="368" w:type="pct"/>
            <w:vAlign w:val="center"/>
          </w:tcPr>
          <w:p w14:paraId="49A2EBC3">
            <w:pP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考查</w:t>
            </w:r>
          </w:p>
        </w:tc>
        <w:tc>
          <w:tcPr>
            <w:tcW w:w="591" w:type="pct"/>
            <w:vAlign w:val="center"/>
          </w:tcPr>
          <w:p w14:paraId="4AA1C067">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计算机</w:t>
            </w:r>
          </w:p>
        </w:tc>
        <w:tc>
          <w:tcPr>
            <w:tcW w:w="420" w:type="pct"/>
            <w:vAlign w:val="center"/>
          </w:tcPr>
          <w:p w14:paraId="1A818E68">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仝武宁</w:t>
            </w:r>
          </w:p>
        </w:tc>
        <w:tc>
          <w:tcPr>
            <w:tcW w:w="537" w:type="pct"/>
          </w:tcPr>
          <w:p w14:paraId="7E7EC763">
            <w:pPr>
              <w:snapToGrid w:val="0"/>
              <w:spacing w:line="240" w:lineRule="atLeas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基础医学院</w:t>
            </w:r>
          </w:p>
        </w:tc>
      </w:tr>
      <w:tr w14:paraId="65C11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exact"/>
          <w:jc w:val="center"/>
        </w:trPr>
        <w:tc>
          <w:tcPr>
            <w:tcW w:w="676" w:type="pct"/>
            <w:vAlign w:val="center"/>
          </w:tcPr>
          <w:p w14:paraId="11ECD4A9">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药物设计</w:t>
            </w:r>
          </w:p>
        </w:tc>
        <w:tc>
          <w:tcPr>
            <w:tcW w:w="309" w:type="pct"/>
            <w:vAlign w:val="center"/>
          </w:tcPr>
          <w:p w14:paraId="53273683">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2</w:t>
            </w:r>
          </w:p>
        </w:tc>
        <w:tc>
          <w:tcPr>
            <w:tcW w:w="312" w:type="pct"/>
            <w:vAlign w:val="center"/>
          </w:tcPr>
          <w:p w14:paraId="6CDAED49">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36</w:t>
            </w:r>
          </w:p>
        </w:tc>
        <w:tc>
          <w:tcPr>
            <w:tcW w:w="327" w:type="pct"/>
            <w:vAlign w:val="center"/>
          </w:tcPr>
          <w:p w14:paraId="2E45F526">
            <w:pPr>
              <w:rPr>
                <w:rFonts w:ascii="仿宋_GB2312" w:hAnsi="仿宋_GB2312" w:eastAsia="仿宋_GB2312" w:cs="仿宋_GB2312"/>
                <w:snapToGrid w:val="0"/>
                <w:color w:val="000000" w:themeColor="text1"/>
                <w:spacing w:val="-14"/>
                <w:kern w:val="21"/>
                <w:sz w:val="24"/>
                <w14:textFill>
                  <w14:solidFill>
                    <w14:schemeClr w14:val="tx1"/>
                  </w14:solidFill>
                </w14:textFill>
              </w:rPr>
            </w:pPr>
          </w:p>
        </w:tc>
        <w:tc>
          <w:tcPr>
            <w:tcW w:w="344" w:type="pct"/>
            <w:vAlign w:val="center"/>
          </w:tcPr>
          <w:p w14:paraId="67B338CA">
            <w:pPr>
              <w:rPr>
                <w:rFonts w:ascii="仿宋_GB2312" w:hAnsi="仿宋_GB2312" w:eastAsia="仿宋_GB2312" w:cs="仿宋_GB2312"/>
                <w:color w:val="000000" w:themeColor="text1"/>
                <w:sz w:val="24"/>
                <w14:textFill>
                  <w14:solidFill>
                    <w14:schemeClr w14:val="tx1"/>
                  </w14:solidFill>
                </w14:textFill>
              </w:rPr>
            </w:pPr>
            <w:r>
              <w:rPr>
                <w:rFonts w:ascii="Arial" w:hAnsi="Arial" w:eastAsia="仿宋_GB2312" w:cs="Arial"/>
                <w:color w:val="000000" w:themeColor="text1"/>
                <w:sz w:val="24"/>
                <w14:textFill>
                  <w14:solidFill>
                    <w14:schemeClr w14:val="tx1"/>
                  </w14:solidFill>
                </w14:textFill>
              </w:rPr>
              <w:t>√</w:t>
            </w:r>
          </w:p>
        </w:tc>
        <w:tc>
          <w:tcPr>
            <w:tcW w:w="327" w:type="pct"/>
            <w:vAlign w:val="center"/>
          </w:tcPr>
          <w:p w14:paraId="19913A0C">
            <w:pPr>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ascii="Arial" w:hAnsi="Arial" w:eastAsia="仿宋_GB2312" w:cs="Arial"/>
                <w:color w:val="000000" w:themeColor="text1"/>
                <w:sz w:val="24"/>
                <w14:textFill>
                  <w14:solidFill>
                    <w14:schemeClr w14:val="tx1"/>
                  </w14:solidFill>
                </w14:textFill>
              </w:rPr>
              <w:t>√</w:t>
            </w:r>
          </w:p>
        </w:tc>
        <w:tc>
          <w:tcPr>
            <w:tcW w:w="350" w:type="pct"/>
            <w:vAlign w:val="center"/>
          </w:tcPr>
          <w:p w14:paraId="4B6EC2A0">
            <w:pPr>
              <w:rPr>
                <w:rFonts w:ascii="仿宋_GB2312" w:hAnsi="仿宋_GB2312" w:eastAsia="仿宋_GB2312" w:cs="仿宋_GB2312"/>
                <w:color w:val="000000" w:themeColor="text1"/>
                <w:sz w:val="24"/>
                <w14:textFill>
                  <w14:solidFill>
                    <w14:schemeClr w14:val="tx1"/>
                  </w14:solidFill>
                </w14:textFill>
              </w:rPr>
            </w:pPr>
          </w:p>
        </w:tc>
        <w:tc>
          <w:tcPr>
            <w:tcW w:w="434" w:type="pct"/>
            <w:vAlign w:val="center"/>
          </w:tcPr>
          <w:p w14:paraId="5A329950">
            <w:pPr>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春季</w:t>
            </w:r>
          </w:p>
        </w:tc>
        <w:tc>
          <w:tcPr>
            <w:tcW w:w="368" w:type="pct"/>
            <w:vAlign w:val="center"/>
          </w:tcPr>
          <w:p w14:paraId="002B5DBB">
            <w:pP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考查</w:t>
            </w:r>
          </w:p>
        </w:tc>
        <w:tc>
          <w:tcPr>
            <w:tcW w:w="591" w:type="pct"/>
            <w:vAlign w:val="center"/>
          </w:tcPr>
          <w:p w14:paraId="22F2EA62">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计算机</w:t>
            </w:r>
          </w:p>
        </w:tc>
        <w:tc>
          <w:tcPr>
            <w:tcW w:w="420" w:type="pct"/>
            <w:vAlign w:val="center"/>
          </w:tcPr>
          <w:p w14:paraId="49714FAF">
            <w:pPr>
              <w:kinsoku w:val="0"/>
              <w:overflowPunct w:val="0"/>
              <w:autoSpaceDE w:val="0"/>
              <w:autoSpaceDN w:val="0"/>
              <w:adjustRightInd w:val="0"/>
              <w:snapToGrid w:val="0"/>
              <w:rPr>
                <w:rFonts w:ascii="仿宋_GB2312" w:hAnsi="仿宋_GB2312" w:eastAsia="仿宋_GB2312" w:cs="仿宋_GB2312"/>
                <w:snapToGrid w:val="0"/>
                <w:color w:val="000000" w:themeColor="text1"/>
                <w:spacing w:val="-14"/>
                <w:kern w:val="2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闫浩</w:t>
            </w:r>
          </w:p>
        </w:tc>
        <w:tc>
          <w:tcPr>
            <w:tcW w:w="537" w:type="pct"/>
          </w:tcPr>
          <w:p w14:paraId="1A9237BB">
            <w:pPr>
              <w:snapToGrid w:val="0"/>
              <w:spacing w:line="240" w:lineRule="atLeas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napToGrid w:val="0"/>
                <w:color w:val="000000" w:themeColor="text1"/>
                <w:spacing w:val="-14"/>
                <w:kern w:val="21"/>
                <w:sz w:val="24"/>
                <w14:textFill>
                  <w14:solidFill>
                    <w14:schemeClr w14:val="tx1"/>
                  </w14:solidFill>
                </w14:textFill>
              </w:rPr>
              <w:t>药学院</w:t>
            </w:r>
          </w:p>
        </w:tc>
      </w:tr>
      <w:tr w14:paraId="0991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exact"/>
          <w:jc w:val="center"/>
        </w:trPr>
        <w:tc>
          <w:tcPr>
            <w:tcW w:w="676" w:type="pct"/>
            <w:vAlign w:val="center"/>
          </w:tcPr>
          <w:p w14:paraId="2BA33B9C">
            <w:pPr>
              <w:kinsoku w:val="0"/>
              <w:overflowPunct w:val="0"/>
              <w:autoSpaceDE w:val="0"/>
              <w:autoSpaceDN w:val="0"/>
              <w:adjustRightInd w:val="0"/>
              <w:snapToGrid w:val="0"/>
              <w:jc w:val="left"/>
              <w:rPr>
                <w:rFonts w:ascii="仿宋_GB2312" w:hAnsi="仿宋_GB2312" w:eastAsia="仿宋_GB2312" w:cs="仿宋_GB2312"/>
                <w:snapToGrid w:val="0"/>
                <w:color w:val="0000FF"/>
                <w:spacing w:val="-14"/>
                <w:kern w:val="21"/>
                <w:sz w:val="24"/>
              </w:rPr>
            </w:pPr>
          </w:p>
        </w:tc>
        <w:tc>
          <w:tcPr>
            <w:tcW w:w="309" w:type="pct"/>
            <w:vAlign w:val="center"/>
          </w:tcPr>
          <w:p w14:paraId="46F8DCDB">
            <w:pPr>
              <w:kinsoku w:val="0"/>
              <w:overflowPunct w:val="0"/>
              <w:autoSpaceDE w:val="0"/>
              <w:autoSpaceDN w:val="0"/>
              <w:adjustRightInd w:val="0"/>
              <w:snapToGrid w:val="0"/>
              <w:jc w:val="center"/>
              <w:textAlignment w:val="center"/>
              <w:rPr>
                <w:rFonts w:ascii="仿宋_GB2312" w:hAnsi="仿宋_GB2312" w:eastAsia="仿宋_GB2312" w:cs="仿宋_GB2312"/>
                <w:snapToGrid w:val="0"/>
                <w:color w:val="0000FF"/>
                <w:spacing w:val="-14"/>
                <w:kern w:val="21"/>
                <w:sz w:val="24"/>
              </w:rPr>
            </w:pPr>
          </w:p>
        </w:tc>
        <w:tc>
          <w:tcPr>
            <w:tcW w:w="312" w:type="pct"/>
            <w:vAlign w:val="center"/>
          </w:tcPr>
          <w:p w14:paraId="3B918BB7">
            <w:pPr>
              <w:kinsoku w:val="0"/>
              <w:overflowPunct w:val="0"/>
              <w:autoSpaceDE w:val="0"/>
              <w:autoSpaceDN w:val="0"/>
              <w:adjustRightInd w:val="0"/>
              <w:snapToGrid w:val="0"/>
              <w:jc w:val="center"/>
              <w:textAlignment w:val="center"/>
              <w:rPr>
                <w:rFonts w:ascii="仿宋_GB2312" w:hAnsi="仿宋_GB2312" w:eastAsia="仿宋_GB2312" w:cs="仿宋_GB2312"/>
                <w:snapToGrid w:val="0"/>
                <w:color w:val="0000FF"/>
                <w:spacing w:val="-14"/>
                <w:kern w:val="21"/>
                <w:sz w:val="24"/>
              </w:rPr>
            </w:pPr>
          </w:p>
        </w:tc>
        <w:tc>
          <w:tcPr>
            <w:tcW w:w="327" w:type="pct"/>
            <w:vAlign w:val="center"/>
          </w:tcPr>
          <w:p w14:paraId="3A00FEB1">
            <w:pPr>
              <w:jc w:val="center"/>
              <w:rPr>
                <w:rFonts w:ascii="仿宋_GB2312" w:hAnsi="仿宋_GB2312" w:eastAsia="仿宋_GB2312" w:cs="仿宋_GB2312"/>
                <w:snapToGrid w:val="0"/>
                <w:color w:val="0000FF"/>
                <w:spacing w:val="-14"/>
                <w:kern w:val="21"/>
                <w:sz w:val="24"/>
              </w:rPr>
            </w:pPr>
          </w:p>
        </w:tc>
        <w:tc>
          <w:tcPr>
            <w:tcW w:w="344" w:type="pct"/>
            <w:vAlign w:val="center"/>
          </w:tcPr>
          <w:p w14:paraId="5C984D42">
            <w:pPr>
              <w:jc w:val="center"/>
              <w:rPr>
                <w:rFonts w:ascii="仿宋_GB2312" w:hAnsi="仿宋_GB2312" w:eastAsia="仿宋_GB2312" w:cs="仿宋_GB2312"/>
                <w:sz w:val="24"/>
              </w:rPr>
            </w:pPr>
          </w:p>
        </w:tc>
        <w:tc>
          <w:tcPr>
            <w:tcW w:w="327" w:type="pct"/>
            <w:vAlign w:val="center"/>
          </w:tcPr>
          <w:p w14:paraId="6F3AA33D">
            <w:pPr>
              <w:jc w:val="center"/>
              <w:rPr>
                <w:rFonts w:ascii="仿宋_GB2312" w:hAnsi="仿宋_GB2312" w:eastAsia="仿宋_GB2312" w:cs="仿宋_GB2312"/>
                <w:snapToGrid w:val="0"/>
                <w:color w:val="0000FF"/>
                <w:spacing w:val="-14"/>
                <w:kern w:val="21"/>
                <w:sz w:val="24"/>
              </w:rPr>
            </w:pPr>
          </w:p>
        </w:tc>
        <w:tc>
          <w:tcPr>
            <w:tcW w:w="350" w:type="pct"/>
            <w:vAlign w:val="center"/>
          </w:tcPr>
          <w:p w14:paraId="1551A0D2">
            <w:pPr>
              <w:jc w:val="center"/>
              <w:rPr>
                <w:rFonts w:ascii="仿宋_GB2312" w:hAnsi="仿宋_GB2312" w:eastAsia="仿宋_GB2312" w:cs="仿宋_GB2312"/>
                <w:sz w:val="24"/>
              </w:rPr>
            </w:pPr>
          </w:p>
        </w:tc>
        <w:tc>
          <w:tcPr>
            <w:tcW w:w="434" w:type="pct"/>
            <w:vAlign w:val="center"/>
          </w:tcPr>
          <w:p w14:paraId="203CDEA1">
            <w:pPr>
              <w:jc w:val="center"/>
              <w:rPr>
                <w:rFonts w:ascii="仿宋_GB2312" w:hAnsi="仿宋_GB2312" w:eastAsia="仿宋_GB2312" w:cs="仿宋_GB2312"/>
                <w:snapToGrid w:val="0"/>
                <w:color w:val="0000FF"/>
                <w:spacing w:val="-14"/>
                <w:kern w:val="21"/>
                <w:sz w:val="24"/>
              </w:rPr>
            </w:pPr>
          </w:p>
        </w:tc>
        <w:tc>
          <w:tcPr>
            <w:tcW w:w="368" w:type="pct"/>
            <w:vAlign w:val="center"/>
          </w:tcPr>
          <w:p w14:paraId="68EE4D29">
            <w:pPr>
              <w:jc w:val="center"/>
              <w:rPr>
                <w:rFonts w:ascii="仿宋_GB2312" w:hAnsi="仿宋_GB2312" w:eastAsia="仿宋_GB2312" w:cs="仿宋_GB2312"/>
                <w:color w:val="0000FF"/>
                <w:sz w:val="24"/>
              </w:rPr>
            </w:pPr>
          </w:p>
        </w:tc>
        <w:tc>
          <w:tcPr>
            <w:tcW w:w="591" w:type="pct"/>
            <w:vAlign w:val="center"/>
          </w:tcPr>
          <w:p w14:paraId="610F7707">
            <w:pPr>
              <w:kinsoku w:val="0"/>
              <w:overflowPunct w:val="0"/>
              <w:autoSpaceDE w:val="0"/>
              <w:autoSpaceDN w:val="0"/>
              <w:adjustRightInd w:val="0"/>
              <w:snapToGrid w:val="0"/>
              <w:jc w:val="left"/>
              <w:rPr>
                <w:rFonts w:ascii="仿宋_GB2312" w:hAnsi="仿宋_GB2312" w:eastAsia="仿宋_GB2312" w:cs="仿宋_GB2312"/>
                <w:snapToGrid w:val="0"/>
                <w:color w:val="0000FF"/>
                <w:spacing w:val="-14"/>
                <w:kern w:val="21"/>
                <w:sz w:val="24"/>
              </w:rPr>
            </w:pPr>
          </w:p>
        </w:tc>
        <w:tc>
          <w:tcPr>
            <w:tcW w:w="420" w:type="pct"/>
            <w:vAlign w:val="center"/>
          </w:tcPr>
          <w:p w14:paraId="37C1AFE9">
            <w:pPr>
              <w:kinsoku w:val="0"/>
              <w:overflowPunct w:val="0"/>
              <w:autoSpaceDE w:val="0"/>
              <w:autoSpaceDN w:val="0"/>
              <w:adjustRightInd w:val="0"/>
              <w:snapToGrid w:val="0"/>
              <w:jc w:val="left"/>
              <w:rPr>
                <w:rFonts w:ascii="仿宋_GB2312" w:hAnsi="仿宋_GB2312" w:eastAsia="仿宋_GB2312" w:cs="仿宋_GB2312"/>
                <w:snapToGrid w:val="0"/>
                <w:color w:val="0000FF"/>
                <w:spacing w:val="-14"/>
                <w:kern w:val="21"/>
                <w:sz w:val="24"/>
              </w:rPr>
            </w:pPr>
          </w:p>
        </w:tc>
        <w:tc>
          <w:tcPr>
            <w:tcW w:w="537" w:type="pct"/>
          </w:tcPr>
          <w:p w14:paraId="28B2CA6A">
            <w:pPr>
              <w:snapToGrid w:val="0"/>
              <w:spacing w:line="240" w:lineRule="atLeast"/>
              <w:rPr>
                <w:rFonts w:ascii="仿宋_GB2312" w:hAnsi="仿宋_GB2312" w:eastAsia="仿宋_GB2312" w:cs="仿宋_GB2312"/>
                <w:color w:val="0000FF"/>
                <w:sz w:val="24"/>
              </w:rPr>
            </w:pPr>
          </w:p>
        </w:tc>
      </w:tr>
      <w:tr w14:paraId="0984D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48" w:hRule="exact"/>
          <w:jc w:val="center"/>
        </w:trPr>
        <w:tc>
          <w:tcPr>
            <w:tcW w:w="676" w:type="pct"/>
            <w:vAlign w:val="center"/>
          </w:tcPr>
          <w:p w14:paraId="19803927">
            <w:pPr>
              <w:kinsoku w:val="0"/>
              <w:overflowPunct w:val="0"/>
              <w:autoSpaceDE w:val="0"/>
              <w:autoSpaceDN w:val="0"/>
              <w:adjustRightInd w:val="0"/>
              <w:snapToGrid w:val="0"/>
              <w:jc w:val="center"/>
              <w:rPr>
                <w:rFonts w:ascii="仿宋_GB2312" w:hAnsi="仿宋_GB2312" w:eastAsia="仿宋_GB2312" w:cs="仿宋_GB2312"/>
                <w:snapToGrid w:val="0"/>
                <w:spacing w:val="-14"/>
                <w:kern w:val="21"/>
                <w:sz w:val="24"/>
              </w:rPr>
            </w:pPr>
            <w:r>
              <w:rPr>
                <w:rFonts w:hint="eastAsia" w:ascii="仿宋_GB2312" w:hAnsi="仿宋_GB2312" w:eastAsia="仿宋_GB2312" w:cs="仿宋_GB2312"/>
                <w:snapToGrid w:val="0"/>
                <w:spacing w:val="-14"/>
                <w:kern w:val="21"/>
                <w:sz w:val="24"/>
              </w:rPr>
              <w:t>总学分</w:t>
            </w:r>
          </w:p>
        </w:tc>
        <w:tc>
          <w:tcPr>
            <w:tcW w:w="4323" w:type="pct"/>
            <w:gridSpan w:val="11"/>
            <w:vAlign w:val="center"/>
          </w:tcPr>
          <w:p w14:paraId="15FDCC84">
            <w:pPr>
              <w:kinsoku w:val="0"/>
              <w:overflowPunct w:val="0"/>
              <w:autoSpaceDE w:val="0"/>
              <w:autoSpaceDN w:val="0"/>
              <w:adjustRightInd w:val="0"/>
              <w:snapToGrid w:val="0"/>
              <w:jc w:val="center"/>
              <w:rPr>
                <w:rFonts w:hint="default" w:ascii="仿宋_GB2312" w:hAnsi="仿宋_GB2312" w:eastAsia="仿宋_GB2312" w:cs="仿宋_GB2312"/>
                <w:snapToGrid w:val="0"/>
                <w:spacing w:val="-14"/>
                <w:kern w:val="21"/>
                <w:sz w:val="24"/>
                <w:lang w:val="en-US" w:eastAsia="zh-CN"/>
              </w:rPr>
            </w:pPr>
            <w:r>
              <w:rPr>
                <w:rFonts w:hint="eastAsia" w:ascii="仿宋_GB2312" w:hAnsi="仿宋_GB2312" w:eastAsia="仿宋_GB2312" w:cs="仿宋_GB2312"/>
                <w:snapToGrid w:val="0"/>
                <w:spacing w:val="-14"/>
                <w:kern w:val="21"/>
                <w:sz w:val="24"/>
                <w:lang w:val="en-US" w:eastAsia="zh-CN"/>
              </w:rPr>
              <w:t>8.0</w:t>
            </w:r>
          </w:p>
        </w:tc>
      </w:tr>
    </w:tbl>
    <w:p w14:paraId="3F907FB5">
      <w:pPr>
        <w:kinsoku w:val="0"/>
        <w:overflowPunct w:val="0"/>
        <w:autoSpaceDE w:val="0"/>
        <w:autoSpaceDN w:val="0"/>
        <w:adjustRightInd w:val="0"/>
        <w:snapToGrid w:val="0"/>
        <w:spacing w:line="560" w:lineRule="exact"/>
        <w:jc w:val="left"/>
        <w:rPr>
          <w:rFonts w:ascii="仿宋_GB2312" w:hAnsi="仿宋_GB2312" w:eastAsia="仿宋_GB2312" w:cs="仿宋_GB2312"/>
          <w:snapToGrid w:val="0"/>
          <w:color w:val="C00000"/>
          <w:spacing w:val="-14"/>
          <w:kern w:val="21"/>
          <w:sz w:val="24"/>
        </w:rPr>
      </w:pPr>
      <w:r>
        <w:rPr>
          <w:rFonts w:hint="eastAsia" w:ascii="仿宋_GB2312" w:hAnsi="仿宋_GB2312" w:eastAsia="仿宋_GB2312" w:cs="仿宋_GB2312"/>
          <w:snapToGrid w:val="0"/>
          <w:color w:val="C00000"/>
          <w:spacing w:val="-14"/>
          <w:kern w:val="21"/>
          <w:sz w:val="24"/>
        </w:rPr>
        <w:t>注：开课学期填写2025年秋季学期、2026年春季学期</w:t>
      </w:r>
    </w:p>
    <w:p w14:paraId="504AA4C1">
      <w:pPr>
        <w:numPr>
          <w:ilvl w:val="0"/>
          <w:numId w:val="1"/>
        </w:numPr>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咨询方式</w:t>
      </w:r>
      <w:bookmarkStart w:id="0" w:name="_GoBack"/>
      <w:bookmarkEnd w:id="0"/>
    </w:p>
    <w:p w14:paraId="052022E7">
      <w:pPr>
        <w:kinsoku w:val="0"/>
        <w:overflowPunct w:val="0"/>
        <w:autoSpaceDE w:val="0"/>
        <w:autoSpaceDN w:val="0"/>
        <w:adjustRightInd w:val="0"/>
        <w:snapToGrid w:val="0"/>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QQ</w:t>
      </w:r>
      <w:r>
        <w:rPr>
          <w:rFonts w:hint="eastAsia" w:ascii="仿宋_GB2312" w:hAnsi="仿宋_GB2312" w:eastAsia="仿宋_GB2312" w:cs="仿宋_GB2312"/>
          <w:sz w:val="32"/>
          <w:szCs w:val="32"/>
        </w:rPr>
        <w:t>群：9</w:t>
      </w:r>
      <w:r>
        <w:rPr>
          <w:rFonts w:ascii="仿宋_GB2312" w:hAnsi="仿宋_GB2312" w:eastAsia="仿宋_GB2312" w:cs="仿宋_GB2312"/>
          <w:sz w:val="32"/>
          <w:szCs w:val="32"/>
        </w:rPr>
        <w:t>26191827</w:t>
      </w:r>
    </w:p>
    <w:p w14:paraId="0BD0C746">
      <w:pPr>
        <w:kinsoku w:val="0"/>
        <w:overflowPunct w:val="0"/>
        <w:autoSpaceDE w:val="0"/>
        <w:autoSpaceDN w:val="0"/>
        <w:adjustRightInd w:val="0"/>
        <w:snapToGrid w:val="0"/>
        <w:spacing w:line="560" w:lineRule="exact"/>
        <w:jc w:val="left"/>
        <w:rPr>
          <w:rFonts w:ascii="仿宋_GB2312" w:hAnsi="仿宋_GB2312" w:eastAsia="仿宋_GB2312" w:cs="仿宋_GB2312"/>
          <w:snapToGrid w:val="0"/>
          <w:color w:val="C00000"/>
          <w:spacing w:val="-14"/>
          <w:kern w:val="21"/>
          <w:sz w:val="24"/>
        </w:rPr>
      </w:pPr>
      <w:r>
        <w:rPr>
          <w:rFonts w:hint="eastAsia" w:ascii="仿宋_GB2312" w:hAnsi="仿宋_GB2312" w:eastAsia="仿宋_GB2312" w:cs="仿宋_GB2312"/>
          <w:sz w:val="32"/>
          <w:szCs w:val="32"/>
        </w:rPr>
        <w:t xml:space="preserve"> 基础医学院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宋逍老师  029-38185</w:t>
      </w:r>
      <w:r>
        <w:rPr>
          <w:rFonts w:ascii="仿宋_GB2312" w:hAnsi="仿宋_GB2312" w:eastAsia="仿宋_GB2312" w:cs="仿宋_GB2312"/>
          <w:sz w:val="32"/>
          <w:szCs w:val="32"/>
        </w:rPr>
        <w:t>119</w:t>
      </w:r>
    </w:p>
    <w:p w14:paraId="44FB388D">
      <w:pPr>
        <w:spacing w:line="500" w:lineRule="exact"/>
        <w:ind w:firstLine="640" w:firstLineChars="200"/>
        <w:rPr>
          <w:rFonts w:ascii="仿宋" w:hAnsi="仿宋" w:eastAsia="仿宋" w:cs="仿宋"/>
          <w:color w:val="0000FF"/>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FB0F2">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8A102F">
                          <w:pPr>
                            <w:pStyle w:val="2"/>
                            <w:rPr>
                              <w:rFonts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asciiTheme="minorEastAsia" w:hAnsiTheme="minorEastAsia" w:cstheme="minorEastAsia"/>
                              <w:sz w:val="24"/>
                            </w:rPr>
                            <w:t>1</w:t>
                          </w:r>
                          <w:r>
                            <w:rPr>
                              <w:rFonts w:hint="eastAsia" w:asciiTheme="minorEastAsia" w:hAnsiTheme="minorEastAsia" w:cstheme="minorEastAsia"/>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8A102F">
                    <w:pPr>
                      <w:pStyle w:val="2"/>
                      <w:rPr>
                        <w:rFonts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asciiTheme="minorEastAsia" w:hAnsiTheme="minorEastAsia" w:cstheme="minorEastAsia"/>
                        <w:sz w:val="24"/>
                      </w:rPr>
                      <w:t>1</w:t>
                    </w:r>
                    <w:r>
                      <w:rPr>
                        <w:rFonts w:hint="eastAsia" w:asciiTheme="minorEastAsia" w:hAnsiTheme="minorEastAsia" w:cstheme="minorEastAsia"/>
                        <w:sz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14AFE3"/>
    <w:multiLevelType w:val="singleLevel"/>
    <w:tmpl w:val="7814AFE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5B2"/>
    <w:rsid w:val="000435A0"/>
    <w:rsid w:val="001B75B2"/>
    <w:rsid w:val="00754EA2"/>
    <w:rsid w:val="02E64D83"/>
    <w:rsid w:val="031E1229"/>
    <w:rsid w:val="07EB1A15"/>
    <w:rsid w:val="0A4E53BA"/>
    <w:rsid w:val="0B930B35"/>
    <w:rsid w:val="0CFE440E"/>
    <w:rsid w:val="0D9765DF"/>
    <w:rsid w:val="110A3EC2"/>
    <w:rsid w:val="12A165D1"/>
    <w:rsid w:val="14DB04C0"/>
    <w:rsid w:val="156F18A7"/>
    <w:rsid w:val="159D0129"/>
    <w:rsid w:val="15FB249C"/>
    <w:rsid w:val="177E77B0"/>
    <w:rsid w:val="1BDA0EA3"/>
    <w:rsid w:val="1C4A27F6"/>
    <w:rsid w:val="1D0D7B40"/>
    <w:rsid w:val="1DC13FCB"/>
    <w:rsid w:val="1E512D1B"/>
    <w:rsid w:val="1E571C6C"/>
    <w:rsid w:val="1F212F73"/>
    <w:rsid w:val="228B233C"/>
    <w:rsid w:val="22D05240"/>
    <w:rsid w:val="28213C01"/>
    <w:rsid w:val="290D27BA"/>
    <w:rsid w:val="29332C51"/>
    <w:rsid w:val="2B404781"/>
    <w:rsid w:val="2C471B3F"/>
    <w:rsid w:val="2C6317F4"/>
    <w:rsid w:val="2CE33F5E"/>
    <w:rsid w:val="2CEB78AE"/>
    <w:rsid w:val="2E9618AF"/>
    <w:rsid w:val="2F7D458D"/>
    <w:rsid w:val="326C67A3"/>
    <w:rsid w:val="327A39AE"/>
    <w:rsid w:val="35635C3C"/>
    <w:rsid w:val="385D6B5F"/>
    <w:rsid w:val="3A947B69"/>
    <w:rsid w:val="3B0815E4"/>
    <w:rsid w:val="3B0B2045"/>
    <w:rsid w:val="3B27295C"/>
    <w:rsid w:val="3B6C3370"/>
    <w:rsid w:val="3B980E56"/>
    <w:rsid w:val="3C1A7C15"/>
    <w:rsid w:val="3E4660FB"/>
    <w:rsid w:val="3E612F34"/>
    <w:rsid w:val="3EDB5F03"/>
    <w:rsid w:val="41285F8B"/>
    <w:rsid w:val="45CA61F2"/>
    <w:rsid w:val="47243E34"/>
    <w:rsid w:val="49861AA1"/>
    <w:rsid w:val="4BCE14DD"/>
    <w:rsid w:val="4CB86415"/>
    <w:rsid w:val="4FB2334F"/>
    <w:rsid w:val="521D4F6D"/>
    <w:rsid w:val="52CD5231"/>
    <w:rsid w:val="53954F7A"/>
    <w:rsid w:val="55482300"/>
    <w:rsid w:val="571C70F4"/>
    <w:rsid w:val="59BA6CC4"/>
    <w:rsid w:val="5DF60819"/>
    <w:rsid w:val="615728C1"/>
    <w:rsid w:val="61E81176"/>
    <w:rsid w:val="63D730B2"/>
    <w:rsid w:val="649B069F"/>
    <w:rsid w:val="679A7B08"/>
    <w:rsid w:val="67AC4971"/>
    <w:rsid w:val="693966D8"/>
    <w:rsid w:val="6BD03361"/>
    <w:rsid w:val="6C1A459F"/>
    <w:rsid w:val="6C442A2F"/>
    <w:rsid w:val="6D406540"/>
    <w:rsid w:val="6E22598D"/>
    <w:rsid w:val="6FD938D9"/>
    <w:rsid w:val="713559D7"/>
    <w:rsid w:val="725F06C6"/>
    <w:rsid w:val="73DC4D25"/>
    <w:rsid w:val="74424693"/>
    <w:rsid w:val="78092207"/>
    <w:rsid w:val="7BA6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786</Words>
  <Characters>794</Characters>
  <Lines>8</Lines>
  <Paragraphs>2</Paragraphs>
  <TotalTime>273</TotalTime>
  <ScaleCrop>false</ScaleCrop>
  <LinksUpToDate>false</LinksUpToDate>
  <CharactersWithSpaces>794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2025-05-06T08:15:00Z</cp:lastPrinted>
  <dcterms:modified xsi:type="dcterms:W3CDTF">2025-09-03T08:16:46Z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D38019C32D7D49B992B83A58D9868AA0_13</vt:lpwstr>
  </property>
  <property fmtid="{D5CDD505-2E9C-101B-9397-08002B2CF9AE}" pid="4" name="KSOTemplateDocerSaveRecord">
    <vt:lpwstr>eyJoZGlkIjoiMTY5OTczZTk5MmEzZDA3M2I5YzE1Y2RjMGE4OTMxYjciLCJ1c2VySWQiOiIzMjY2NDUyMjkifQ==</vt:lpwstr>
  </property>
</Properties>
</file>