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002B39">
      <w:pPr>
        <w:jc w:val="left"/>
        <w:rPr>
          <w:rFonts w:hint="eastAsia" w:ascii="黑体" w:hAnsi="黑体" w:eastAsia="黑体" w:cs="黑体"/>
          <w:sz w:val="32"/>
          <w:szCs w:val="32"/>
        </w:rPr>
      </w:pPr>
      <w:r>
        <w:rPr>
          <w:rFonts w:hint="eastAsia" w:ascii="黑体" w:hAnsi="黑体" w:eastAsia="黑体" w:cs="黑体"/>
          <w:sz w:val="32"/>
          <w:szCs w:val="32"/>
        </w:rPr>
        <w:t>附件2</w:t>
      </w:r>
    </w:p>
    <w:p w14:paraId="3486E6D9">
      <w:pPr>
        <w:jc w:val="center"/>
        <w:rPr>
          <w:rFonts w:hint="eastAsia" w:ascii="仿宋" w:hAnsi="仿宋" w:eastAsia="仿宋" w:cs="仿宋"/>
          <w:sz w:val="32"/>
          <w:szCs w:val="32"/>
        </w:rPr>
      </w:pPr>
      <w:r>
        <w:rPr>
          <w:rFonts w:hint="eastAsia" w:ascii="方正小标宋简体" w:hAnsi="方正小标宋简体" w:eastAsia="方正小标宋简体" w:cs="方正小标宋简体"/>
          <w:sz w:val="36"/>
          <w:szCs w:val="36"/>
        </w:rPr>
        <w:t>“健康医疗大数据”微专业招生简章</w:t>
      </w:r>
    </w:p>
    <w:p w14:paraId="3652F510">
      <w:pPr>
        <w:spacing w:line="360" w:lineRule="auto"/>
        <w:rPr>
          <w:rFonts w:hint="eastAsia" w:ascii="仿宋_GB2312" w:hAnsi="仿宋_GB2312" w:eastAsia="仿宋_GB2312" w:cs="仿宋_GB2312"/>
          <w:sz w:val="32"/>
          <w:szCs w:val="32"/>
        </w:rPr>
      </w:pPr>
      <w:r>
        <w:rPr>
          <w:rFonts w:hint="eastAsia" w:ascii="黑体" w:hAnsi="黑体" w:eastAsia="黑体" w:cs="黑体"/>
          <w:sz w:val="32"/>
          <w:szCs w:val="32"/>
        </w:rPr>
        <w:t>一、微专业简介</w:t>
      </w:r>
    </w:p>
    <w:p w14:paraId="092EDD05">
      <w:pPr>
        <w:spacing w:line="360" w:lineRule="auto"/>
        <w:ind w:firstLine="566" w:firstLineChars="17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健康医疗大数据”微专业是面向“健康中国”战略与中医药数字化转型需求而设立的新兴交叉学科领域。当前，中医药现代化进程加速，健康医疗大数据与人工智能的深度融合已成为行业发展的核心驱动力。《“十四五”中医药信息化发展规划》明确提出构建中医药大数据中心，推动诊疗数据标准化、中药研发数字化及健康服务智能化。</w:t>
      </w:r>
    </w:p>
    <w:p w14:paraId="1EF606F3">
      <w:pPr>
        <w:spacing w:line="360" w:lineRule="auto"/>
        <w:ind w:firstLine="566" w:firstLineChars="17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微专业以医学为核心，深度融合数学建模、统计学、人工智能、计算机科学等多学科技术，构建“数据采集→处理→分析→应用”全链条课程体系。通过“理论讲解+实践操作+案例驱动+项目实战”的多元化教学模式，旨在培养具备医工交叉思维、掌握健康医疗大数据全流程处理能力的复合型人才。学生将系统学习医学数据挖掘、医学图形图像处理、中医大数据建模、中医药统计与软件操作等核心技术，并通过项目实战深化对AI算法在医疗场景中应用的理解。</w:t>
      </w:r>
    </w:p>
    <w:p w14:paraId="1DABA031">
      <w:pPr>
        <w:spacing w:line="360" w:lineRule="auto"/>
        <w:ind w:firstLine="566" w:firstLineChars="177"/>
        <w:rPr>
          <w:rFonts w:ascii="仿宋_GB2312" w:hAnsi="仿宋_GB2312" w:eastAsia="仿宋_GB2312" w:cs="仿宋_GB2312"/>
          <w:sz w:val="32"/>
          <w:szCs w:val="32"/>
        </w:rPr>
      </w:pPr>
      <w:r>
        <w:rPr>
          <w:rFonts w:hint="eastAsia" w:ascii="仿宋_GB2312" w:hAnsi="仿宋_GB2312" w:eastAsia="仿宋_GB2312" w:cs="仿宋_GB2312"/>
          <w:sz w:val="32"/>
          <w:szCs w:val="32"/>
        </w:rPr>
        <w:t>通过学习，学</w:t>
      </w:r>
      <w:r>
        <w:rPr>
          <w:rFonts w:hint="default" w:ascii="仿宋_GB2312" w:hAnsi="仿宋_GB2312" w:eastAsia="仿宋_GB2312" w:cs="仿宋_GB2312"/>
          <w:sz w:val="32"/>
          <w:szCs w:val="32"/>
          <w:lang w:val="en-US"/>
        </w:rPr>
        <w:t>生</w:t>
      </w:r>
      <w:r>
        <w:rPr>
          <w:rFonts w:hint="eastAsia" w:ascii="仿宋_GB2312" w:hAnsi="仿宋_GB2312" w:eastAsia="仿宋_GB2312" w:cs="仿宋_GB2312"/>
          <w:sz w:val="32"/>
          <w:szCs w:val="32"/>
        </w:rPr>
        <w:t>能够掌握健康医疗大数据中各种不同类型的数据处理和分析方法的基本原理，具备健康医疗大数据处理和分析所涉及的软件或程序使用的能力，具备健康医疗大数据处理和分析领域创新创业者拥有的基本素质。</w:t>
      </w:r>
    </w:p>
    <w:p w14:paraId="487901BC">
      <w:pPr>
        <w:spacing w:line="360" w:lineRule="auto"/>
        <w:ind w:firstLine="566" w:firstLineChars="177"/>
        <w:rPr>
          <w:rFonts w:hint="eastAsia" w:ascii="仿宋_GB2312" w:hAnsi="仿宋_GB2312" w:eastAsia="仿宋_GB2312" w:cs="仿宋_GB2312"/>
          <w:sz w:val="32"/>
          <w:szCs w:val="32"/>
        </w:rPr>
      </w:pPr>
    </w:p>
    <w:p w14:paraId="41D951AB">
      <w:pPr>
        <w:spacing w:line="360" w:lineRule="auto"/>
        <w:rPr>
          <w:rFonts w:hint="eastAsia" w:ascii="仿宋_GB2312" w:hAnsi="仿宋_GB2312" w:eastAsia="仿宋_GB2312" w:cs="仿宋_GB2312"/>
          <w:color w:val="0000FF"/>
          <w:sz w:val="32"/>
          <w:szCs w:val="32"/>
        </w:rPr>
      </w:pPr>
      <w:r>
        <w:rPr>
          <w:rFonts w:hint="eastAsia" w:ascii="黑体" w:hAnsi="黑体" w:eastAsia="黑体" w:cs="黑体"/>
          <w:sz w:val="32"/>
          <w:szCs w:val="32"/>
        </w:rPr>
        <w:t>二、培养目标</w:t>
      </w:r>
    </w:p>
    <w:p w14:paraId="0B9A2242">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本微专业旨在培养兼具中医药专业知识与健康医疗大数据处理能力的复合型人才，能胜任医疗健康领域数据资源的全流程管理工作，推动健康产业数字化转型与智慧医疗创新。具体目标如下：</w:t>
      </w:r>
    </w:p>
    <w:p w14:paraId="3320E65D">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（1）掌握健康医疗大数据采集、清洗、分析、建模及AI技术应用的全流程知识，涵盖医学数据挖掘、图形图像处理、中医药统计软件使用等核心技能。</w:t>
      </w:r>
    </w:p>
    <w:p w14:paraId="103253F5">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具备运用R、Python、SPSS等工具处理医学数据的能力，能通过数据分析优化中医辨证模型、开发智能诊断系统，或参与医疗数据驱动的科研项目</w:t>
      </w:r>
      <w:r>
        <w:rPr>
          <w:rFonts w:hint="eastAsia" w:ascii="仿宋_GB2312" w:hAnsi="仿宋_GB2312" w:eastAsia="仿宋_GB2312" w:cs="仿宋_GB2312"/>
          <w:sz w:val="32"/>
          <w:szCs w:val="32"/>
        </w:rPr>
        <w:t>。</w:t>
      </w:r>
    </w:p>
    <w:p w14:paraId="545345F4">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培养医工交叉思维与创新意识，具备将数据技术与中医药行业需求结合的实践能力，以及跟踪健康医疗大数据领域前沿技术的终身学习能力。</w:t>
      </w:r>
    </w:p>
    <w:p w14:paraId="19AF79E9">
      <w:pPr>
        <w:spacing w:line="360" w:lineRule="auto"/>
        <w:rPr>
          <w:rFonts w:hint="eastAsia" w:ascii="黑体" w:hAnsi="黑体" w:eastAsia="黑体" w:cs="黑体"/>
          <w:sz w:val="32"/>
          <w:szCs w:val="32"/>
        </w:rPr>
      </w:pPr>
      <w:r>
        <w:rPr>
          <w:rFonts w:hint="eastAsia" w:ascii="黑体" w:hAnsi="黑体" w:eastAsia="黑体" w:cs="黑体"/>
          <w:sz w:val="32"/>
          <w:szCs w:val="32"/>
        </w:rPr>
        <w:t>三、招生对象及要求</w:t>
      </w:r>
    </w:p>
    <w:p w14:paraId="5138D4F5">
      <w:pPr>
        <w:spacing w:line="360" w:lineRule="auto"/>
        <w:ind w:firstLine="566" w:firstLineChars="177"/>
        <w:rPr>
          <w:rFonts w:ascii="仿宋_GB2312" w:hAnsi="仿宋_GB2312" w:eastAsia="仿宋_GB2312" w:cs="仿宋_GB2312"/>
          <w:sz w:val="32"/>
          <w:szCs w:val="32"/>
        </w:rPr>
      </w:pPr>
      <w:r>
        <w:rPr>
          <w:rFonts w:hint="eastAsia" w:ascii="仿宋_GB2312" w:hAnsi="仿宋_GB2312" w:eastAsia="仿宋_GB2312" w:cs="仿宋_GB2312"/>
          <w:sz w:val="32"/>
          <w:szCs w:val="32"/>
        </w:rPr>
        <w:t>1.招生对象：陕西中医药大学各类专业、对健康医疗大数据感兴趣的各类专业学生（报名人数≥20人开班）。</w:t>
      </w:r>
    </w:p>
    <w:p w14:paraId="3C2A05BB">
      <w:pPr>
        <w:spacing w:line="360" w:lineRule="auto"/>
        <w:ind w:firstLine="566" w:firstLineChars="177"/>
        <w:rPr>
          <w:rFonts w:ascii="仿宋_GB2312" w:hAnsi="仿宋_GB2312" w:eastAsia="仿宋_GB2312" w:cs="仿宋_GB2312"/>
          <w:sz w:val="32"/>
          <w:szCs w:val="32"/>
        </w:rPr>
      </w:pPr>
      <w:r>
        <w:rPr>
          <w:rFonts w:hint="eastAsia" w:ascii="仿宋_GB2312" w:hAnsi="仿宋_GB2312" w:eastAsia="仿宋_GB2312" w:cs="仿宋_GB2312"/>
          <w:sz w:val="32"/>
          <w:szCs w:val="32"/>
        </w:rPr>
        <w:t>2.先修要求：具备基本的数理基础（如高等数学、统计学常识）或计算机操作能力，无严格先修课程限制。</w:t>
      </w:r>
    </w:p>
    <w:p w14:paraId="6B156B3C">
      <w:pPr>
        <w:spacing w:line="360" w:lineRule="auto"/>
        <w:ind w:firstLine="566" w:firstLineChars="177"/>
        <w:rPr>
          <w:rFonts w:ascii="仿宋_GB2312" w:hAnsi="仿宋_GB2312" w:eastAsia="仿宋_GB2312" w:cs="仿宋_GB2312"/>
          <w:sz w:val="32"/>
          <w:szCs w:val="32"/>
        </w:rPr>
      </w:pPr>
      <w:r>
        <w:rPr>
          <w:rFonts w:hint="eastAsia" w:ascii="仿宋_GB2312" w:hAnsi="仿宋_GB2312" w:eastAsia="仿宋_GB2312" w:cs="仿宋_GB2312"/>
          <w:sz w:val="32"/>
          <w:szCs w:val="32"/>
        </w:rPr>
        <w:t>3.证书授予：完成全部课程且考核合格者，获陕西中医药大学“健康医疗大数据”微专业证书。</w:t>
      </w:r>
    </w:p>
    <w:p w14:paraId="73954F85">
      <w:pPr>
        <w:spacing w:line="560" w:lineRule="exact"/>
        <w:rPr>
          <w:rFonts w:hint="eastAsia" w:ascii="黑体" w:hAnsi="黑体" w:eastAsia="黑体" w:cs="黑体"/>
          <w:sz w:val="32"/>
          <w:szCs w:val="32"/>
        </w:rPr>
      </w:pPr>
    </w:p>
    <w:p w14:paraId="3BB61CD7">
      <w:pPr>
        <w:spacing w:line="560" w:lineRule="exact"/>
        <w:rPr>
          <w:rFonts w:hint="eastAsia" w:ascii="黑体" w:hAnsi="黑体" w:eastAsia="黑体" w:cs="黑体"/>
          <w:sz w:val="32"/>
          <w:szCs w:val="32"/>
        </w:rPr>
      </w:pPr>
      <w:r>
        <w:rPr>
          <w:rFonts w:hint="eastAsia" w:ascii="黑体" w:hAnsi="黑体" w:eastAsia="黑体" w:cs="黑体"/>
          <w:sz w:val="32"/>
          <w:szCs w:val="32"/>
        </w:rPr>
        <w:t>四、课程设置</w:t>
      </w:r>
    </w:p>
    <w:p w14:paraId="547D4403">
      <w:pPr>
        <w:spacing w:line="560" w:lineRule="exact"/>
        <w:jc w:val="center"/>
        <w:rPr>
          <w:rFonts w:hint="eastAsia" w:ascii="仿宋" w:hAnsi="仿宋" w:eastAsia="仿宋" w:cs="仿宋"/>
          <w:sz w:val="32"/>
          <w:szCs w:val="32"/>
        </w:rPr>
      </w:pPr>
      <w:r>
        <w:rPr>
          <w:rFonts w:hint="eastAsia" w:ascii="仿宋_GB2312" w:hAnsi="仿宋_GB2312" w:eastAsia="仿宋_GB2312" w:cs="仿宋_GB2312"/>
          <w:sz w:val="32"/>
          <w:szCs w:val="32"/>
        </w:rPr>
        <w:t>陕西中医药大学“健康医疗大数据”微专业课程设置及学时分配表</w:t>
      </w:r>
    </w:p>
    <w:tbl>
      <w:tblPr>
        <w:tblStyle w:val="4"/>
        <w:tblW w:w="59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624"/>
        <w:gridCol w:w="632"/>
        <w:gridCol w:w="662"/>
        <w:gridCol w:w="696"/>
        <w:gridCol w:w="662"/>
        <w:gridCol w:w="708"/>
        <w:gridCol w:w="876"/>
        <w:gridCol w:w="743"/>
        <w:gridCol w:w="1193"/>
        <w:gridCol w:w="848"/>
        <w:gridCol w:w="1082"/>
      </w:tblGrid>
      <w:tr w14:paraId="73574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exact"/>
          <w:jc w:val="center"/>
        </w:trPr>
        <w:tc>
          <w:tcPr>
            <w:tcW w:w="677" w:type="pct"/>
            <w:vMerge w:val="restart"/>
            <w:vAlign w:val="center"/>
          </w:tcPr>
          <w:p w14:paraId="64A7141C">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snapToGrid w:val="0"/>
                <w:spacing w:val="-14"/>
                <w:kern w:val="21"/>
                <w:sz w:val="24"/>
              </w:rPr>
              <w:t>课程名称</w:t>
            </w:r>
          </w:p>
        </w:tc>
        <w:tc>
          <w:tcPr>
            <w:tcW w:w="309" w:type="pct"/>
            <w:vMerge w:val="restart"/>
            <w:vAlign w:val="center"/>
          </w:tcPr>
          <w:p w14:paraId="78BB5B06">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学分</w:t>
            </w:r>
          </w:p>
        </w:tc>
        <w:tc>
          <w:tcPr>
            <w:tcW w:w="313" w:type="pct"/>
            <w:vMerge w:val="restart"/>
            <w:vAlign w:val="center"/>
          </w:tcPr>
          <w:p w14:paraId="469FE1C0">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学时</w:t>
            </w:r>
          </w:p>
        </w:tc>
        <w:tc>
          <w:tcPr>
            <w:tcW w:w="1352" w:type="pct"/>
            <w:gridSpan w:val="4"/>
            <w:vAlign w:val="center"/>
          </w:tcPr>
          <w:p w14:paraId="7EA4643A">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学时分配</w:t>
            </w:r>
          </w:p>
        </w:tc>
        <w:tc>
          <w:tcPr>
            <w:tcW w:w="434" w:type="pct"/>
            <w:vMerge w:val="restart"/>
            <w:vAlign w:val="center"/>
          </w:tcPr>
          <w:p w14:paraId="03A61157">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开课</w:t>
            </w:r>
          </w:p>
          <w:p w14:paraId="14F3EB48">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学期</w:t>
            </w:r>
          </w:p>
        </w:tc>
        <w:tc>
          <w:tcPr>
            <w:tcW w:w="368" w:type="pct"/>
            <w:vMerge w:val="restart"/>
            <w:vAlign w:val="center"/>
          </w:tcPr>
          <w:p w14:paraId="6C95F73B">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snapToGrid w:val="0"/>
                <w:spacing w:val="-14"/>
                <w:kern w:val="21"/>
                <w:sz w:val="24"/>
              </w:rPr>
              <w:t>考核方式</w:t>
            </w:r>
          </w:p>
        </w:tc>
        <w:tc>
          <w:tcPr>
            <w:tcW w:w="591" w:type="pct"/>
            <w:vMerge w:val="restart"/>
            <w:vAlign w:val="center"/>
          </w:tcPr>
          <w:p w14:paraId="503A769D">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先修</w:t>
            </w:r>
          </w:p>
          <w:p w14:paraId="6DE53954">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课程</w:t>
            </w:r>
          </w:p>
        </w:tc>
        <w:tc>
          <w:tcPr>
            <w:tcW w:w="420" w:type="pct"/>
            <w:vMerge w:val="restart"/>
            <w:vAlign w:val="center"/>
          </w:tcPr>
          <w:p w14:paraId="0DD5329F">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snapToGrid w:val="0"/>
                <w:spacing w:val="-14"/>
                <w:kern w:val="21"/>
                <w:sz w:val="24"/>
              </w:rPr>
              <w:t>授课教师</w:t>
            </w:r>
          </w:p>
        </w:tc>
        <w:tc>
          <w:tcPr>
            <w:tcW w:w="536" w:type="pct"/>
            <w:vMerge w:val="restart"/>
            <w:vAlign w:val="center"/>
          </w:tcPr>
          <w:p w14:paraId="4703AED7">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snapToGrid w:val="0"/>
                <w:spacing w:val="-14"/>
                <w:kern w:val="21"/>
                <w:sz w:val="24"/>
              </w:rPr>
              <w:t>开课单位</w:t>
            </w:r>
          </w:p>
        </w:tc>
      </w:tr>
      <w:tr w14:paraId="282F4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677" w:type="pct"/>
            <w:vMerge w:val="continue"/>
            <w:vAlign w:val="center"/>
          </w:tcPr>
          <w:p w14:paraId="764A8244">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rPr>
            </w:pPr>
          </w:p>
        </w:tc>
        <w:tc>
          <w:tcPr>
            <w:tcW w:w="309" w:type="pct"/>
            <w:vMerge w:val="continue"/>
            <w:vAlign w:val="center"/>
          </w:tcPr>
          <w:p w14:paraId="23745361">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rPr>
            </w:pPr>
          </w:p>
        </w:tc>
        <w:tc>
          <w:tcPr>
            <w:tcW w:w="313" w:type="pct"/>
            <w:vMerge w:val="continue"/>
            <w:vAlign w:val="center"/>
          </w:tcPr>
          <w:p w14:paraId="40AF80A3">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rPr>
            </w:pPr>
          </w:p>
        </w:tc>
        <w:tc>
          <w:tcPr>
            <w:tcW w:w="673" w:type="pct"/>
            <w:gridSpan w:val="2"/>
            <w:vAlign w:val="center"/>
          </w:tcPr>
          <w:p w14:paraId="27E6C33C">
            <w:pPr>
              <w:jc w:val="center"/>
              <w:rPr>
                <w:rFonts w:hint="eastAsia" w:ascii="仿宋_GB2312" w:hAnsi="仿宋_GB2312" w:eastAsia="仿宋_GB2312" w:cs="仿宋_GB2312"/>
                <w:b/>
                <w:bCs/>
                <w:snapToGrid w:val="0"/>
                <w:spacing w:val="-14"/>
                <w:kern w:val="21"/>
                <w:sz w:val="24"/>
              </w:rPr>
            </w:pPr>
            <w:r>
              <w:rPr>
                <w:rFonts w:hint="eastAsia" w:ascii="仿宋_GB2312" w:hAnsi="仿宋_GB2312" w:eastAsia="仿宋_GB2312" w:cs="仿宋_GB2312"/>
                <w:b/>
                <w:bCs/>
                <w:kern w:val="0"/>
                <w:sz w:val="24"/>
              </w:rPr>
              <w:t>理论学时</w:t>
            </w:r>
          </w:p>
        </w:tc>
        <w:tc>
          <w:tcPr>
            <w:tcW w:w="679" w:type="pct"/>
            <w:gridSpan w:val="2"/>
            <w:vAlign w:val="center"/>
          </w:tcPr>
          <w:p w14:paraId="5ADC9C5A">
            <w:pPr>
              <w:jc w:val="center"/>
              <w:rPr>
                <w:rFonts w:hint="eastAsia" w:ascii="仿宋_GB2312" w:hAnsi="仿宋_GB2312" w:eastAsia="仿宋_GB2312" w:cs="仿宋_GB2312"/>
                <w:b/>
                <w:bCs/>
                <w:snapToGrid w:val="0"/>
                <w:spacing w:val="-14"/>
                <w:kern w:val="21"/>
                <w:sz w:val="24"/>
              </w:rPr>
            </w:pPr>
            <w:r>
              <w:rPr>
                <w:rFonts w:hint="eastAsia" w:ascii="仿宋_GB2312" w:hAnsi="仿宋_GB2312" w:eastAsia="仿宋_GB2312" w:cs="仿宋_GB2312"/>
                <w:b/>
                <w:bCs/>
                <w:kern w:val="0"/>
                <w:sz w:val="24"/>
              </w:rPr>
              <w:t>实践学时</w:t>
            </w:r>
          </w:p>
        </w:tc>
        <w:tc>
          <w:tcPr>
            <w:tcW w:w="434" w:type="pct"/>
            <w:vMerge w:val="continue"/>
            <w:vAlign w:val="center"/>
          </w:tcPr>
          <w:p w14:paraId="5C671471">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rPr>
            </w:pPr>
          </w:p>
        </w:tc>
        <w:tc>
          <w:tcPr>
            <w:tcW w:w="368" w:type="pct"/>
            <w:vMerge w:val="continue"/>
            <w:vAlign w:val="center"/>
          </w:tcPr>
          <w:p w14:paraId="79881488">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rPr>
            </w:pPr>
          </w:p>
        </w:tc>
        <w:tc>
          <w:tcPr>
            <w:tcW w:w="591" w:type="pct"/>
            <w:vMerge w:val="continue"/>
            <w:vAlign w:val="center"/>
          </w:tcPr>
          <w:p w14:paraId="74888B4E">
            <w:pPr>
              <w:kinsoku w:val="0"/>
              <w:overflowPunct w:val="0"/>
              <w:autoSpaceDE w:val="0"/>
              <w:autoSpaceDN w:val="0"/>
              <w:adjustRightInd w:val="0"/>
              <w:snapToGrid w:val="0"/>
              <w:jc w:val="left"/>
              <w:rPr>
                <w:rFonts w:hint="eastAsia" w:ascii="仿宋_GB2312" w:hAnsi="仿宋_GB2312" w:eastAsia="仿宋_GB2312" w:cs="仿宋_GB2312"/>
                <w:b/>
                <w:bCs/>
                <w:snapToGrid w:val="0"/>
                <w:spacing w:val="-14"/>
                <w:kern w:val="21"/>
                <w:sz w:val="24"/>
              </w:rPr>
            </w:pPr>
          </w:p>
        </w:tc>
        <w:tc>
          <w:tcPr>
            <w:tcW w:w="420" w:type="pct"/>
            <w:vMerge w:val="continue"/>
            <w:vAlign w:val="center"/>
          </w:tcPr>
          <w:p w14:paraId="355530BD">
            <w:pPr>
              <w:kinsoku w:val="0"/>
              <w:overflowPunct w:val="0"/>
              <w:autoSpaceDE w:val="0"/>
              <w:autoSpaceDN w:val="0"/>
              <w:adjustRightInd w:val="0"/>
              <w:snapToGrid w:val="0"/>
              <w:jc w:val="left"/>
              <w:rPr>
                <w:rFonts w:hint="eastAsia" w:ascii="仿宋_GB2312" w:hAnsi="仿宋_GB2312" w:eastAsia="仿宋_GB2312" w:cs="仿宋_GB2312"/>
                <w:b/>
                <w:bCs/>
                <w:snapToGrid w:val="0"/>
                <w:spacing w:val="-14"/>
                <w:kern w:val="21"/>
                <w:sz w:val="24"/>
              </w:rPr>
            </w:pPr>
          </w:p>
        </w:tc>
        <w:tc>
          <w:tcPr>
            <w:tcW w:w="536" w:type="pct"/>
            <w:vMerge w:val="continue"/>
            <w:vAlign w:val="center"/>
          </w:tcPr>
          <w:p w14:paraId="203B90D0">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rPr>
            </w:pPr>
          </w:p>
        </w:tc>
      </w:tr>
      <w:tr w14:paraId="07152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exact"/>
          <w:jc w:val="center"/>
        </w:trPr>
        <w:tc>
          <w:tcPr>
            <w:tcW w:w="677" w:type="pct"/>
            <w:vMerge w:val="continue"/>
            <w:vAlign w:val="center"/>
          </w:tcPr>
          <w:p w14:paraId="37C4666E">
            <w:pPr>
              <w:kinsoku w:val="0"/>
              <w:overflowPunct w:val="0"/>
              <w:autoSpaceDE w:val="0"/>
              <w:autoSpaceDN w:val="0"/>
              <w:adjustRightInd w:val="0"/>
              <w:snapToGrid w:val="0"/>
              <w:jc w:val="left"/>
              <w:rPr>
                <w:rFonts w:hint="eastAsia" w:ascii="仿宋_GB2312" w:hAnsi="仿宋_GB2312" w:eastAsia="仿宋_GB2312" w:cs="仿宋_GB2312"/>
                <w:snapToGrid w:val="0"/>
                <w:color w:val="0000FF"/>
                <w:spacing w:val="-14"/>
                <w:kern w:val="21"/>
                <w:sz w:val="24"/>
              </w:rPr>
            </w:pPr>
          </w:p>
        </w:tc>
        <w:tc>
          <w:tcPr>
            <w:tcW w:w="309" w:type="pct"/>
            <w:vMerge w:val="continue"/>
            <w:vAlign w:val="center"/>
          </w:tcPr>
          <w:p w14:paraId="049A6A79">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rPr>
            </w:pPr>
          </w:p>
        </w:tc>
        <w:tc>
          <w:tcPr>
            <w:tcW w:w="313" w:type="pct"/>
            <w:vMerge w:val="continue"/>
            <w:vAlign w:val="center"/>
          </w:tcPr>
          <w:p w14:paraId="32F355A3">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rPr>
            </w:pPr>
          </w:p>
        </w:tc>
        <w:tc>
          <w:tcPr>
            <w:tcW w:w="328" w:type="pct"/>
            <w:vAlign w:val="center"/>
          </w:tcPr>
          <w:p w14:paraId="3C29121A">
            <w:pPr>
              <w:widowControl/>
              <w:jc w:val="center"/>
              <w:rPr>
                <w:rFonts w:hint="eastAsia"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kern w:val="0"/>
                <w:sz w:val="24"/>
              </w:rPr>
              <w:t>线下</w:t>
            </w:r>
          </w:p>
        </w:tc>
        <w:tc>
          <w:tcPr>
            <w:tcW w:w="345" w:type="pct"/>
            <w:vAlign w:val="center"/>
          </w:tcPr>
          <w:p w14:paraId="0EA838A7">
            <w:pPr>
              <w:widowControl/>
              <w:jc w:val="center"/>
              <w:rPr>
                <w:rFonts w:hint="eastAsia" w:ascii="仿宋_GB2312" w:hAnsi="仿宋_GB2312" w:eastAsia="仿宋_GB2312" w:cs="仿宋_GB2312"/>
                <w:sz w:val="24"/>
              </w:rPr>
            </w:pPr>
            <w:r>
              <w:rPr>
                <w:rFonts w:hint="eastAsia" w:ascii="仿宋_GB2312" w:hAnsi="仿宋_GB2312" w:eastAsia="仿宋_GB2312" w:cs="仿宋_GB2312"/>
                <w:b/>
                <w:bCs/>
                <w:kern w:val="0"/>
                <w:sz w:val="24"/>
              </w:rPr>
              <w:t>线上</w:t>
            </w:r>
          </w:p>
        </w:tc>
        <w:tc>
          <w:tcPr>
            <w:tcW w:w="328" w:type="pct"/>
            <w:vAlign w:val="center"/>
          </w:tcPr>
          <w:p w14:paraId="669223E6">
            <w:pPr>
              <w:widowControl/>
              <w:jc w:val="center"/>
              <w:rPr>
                <w:rFonts w:hint="eastAsia"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kern w:val="0"/>
                <w:sz w:val="24"/>
              </w:rPr>
              <w:t>线下</w:t>
            </w:r>
          </w:p>
        </w:tc>
        <w:tc>
          <w:tcPr>
            <w:tcW w:w="351" w:type="pct"/>
            <w:vAlign w:val="center"/>
          </w:tcPr>
          <w:p w14:paraId="0F782877">
            <w:pPr>
              <w:widowControl/>
              <w:jc w:val="center"/>
              <w:rPr>
                <w:rFonts w:hint="eastAsia" w:ascii="仿宋_GB2312" w:hAnsi="仿宋_GB2312" w:eastAsia="仿宋_GB2312" w:cs="仿宋_GB2312"/>
                <w:b/>
                <w:bCs/>
                <w:kern w:val="0"/>
                <w:sz w:val="24"/>
              </w:rPr>
            </w:pPr>
            <w:r>
              <w:rPr>
                <w:rFonts w:hint="eastAsia" w:ascii="仿宋_GB2312" w:hAnsi="仿宋_GB2312" w:eastAsia="仿宋_GB2312" w:cs="仿宋_GB2312"/>
                <w:b/>
                <w:bCs/>
                <w:kern w:val="0"/>
                <w:sz w:val="24"/>
              </w:rPr>
              <w:t>线</w:t>
            </w:r>
          </w:p>
          <w:p w14:paraId="0FB52504">
            <w:pPr>
              <w:widowControl/>
              <w:jc w:val="center"/>
              <w:rPr>
                <w:rFonts w:hint="eastAsia" w:ascii="仿宋_GB2312" w:hAnsi="仿宋_GB2312" w:eastAsia="仿宋_GB2312" w:cs="仿宋_GB2312"/>
                <w:sz w:val="24"/>
              </w:rPr>
            </w:pPr>
            <w:r>
              <w:rPr>
                <w:rFonts w:hint="eastAsia" w:ascii="仿宋_GB2312" w:hAnsi="仿宋_GB2312" w:eastAsia="仿宋_GB2312" w:cs="仿宋_GB2312"/>
                <w:b/>
                <w:bCs/>
                <w:kern w:val="0"/>
                <w:sz w:val="24"/>
              </w:rPr>
              <w:t>上</w:t>
            </w:r>
          </w:p>
        </w:tc>
        <w:tc>
          <w:tcPr>
            <w:tcW w:w="434" w:type="pct"/>
            <w:vMerge w:val="continue"/>
            <w:vAlign w:val="center"/>
          </w:tcPr>
          <w:p w14:paraId="3359BE61">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rPr>
            </w:pPr>
          </w:p>
        </w:tc>
        <w:tc>
          <w:tcPr>
            <w:tcW w:w="368" w:type="pct"/>
            <w:vMerge w:val="continue"/>
            <w:vAlign w:val="center"/>
          </w:tcPr>
          <w:p w14:paraId="14E9645C">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rPr>
            </w:pPr>
          </w:p>
        </w:tc>
        <w:tc>
          <w:tcPr>
            <w:tcW w:w="591" w:type="pct"/>
            <w:vMerge w:val="continue"/>
            <w:vAlign w:val="center"/>
          </w:tcPr>
          <w:p w14:paraId="58BBDE15">
            <w:pPr>
              <w:kinsoku w:val="0"/>
              <w:overflowPunct w:val="0"/>
              <w:autoSpaceDE w:val="0"/>
              <w:autoSpaceDN w:val="0"/>
              <w:adjustRightInd w:val="0"/>
              <w:snapToGrid w:val="0"/>
              <w:jc w:val="left"/>
              <w:rPr>
                <w:rFonts w:hint="eastAsia" w:ascii="仿宋_GB2312" w:hAnsi="仿宋_GB2312" w:eastAsia="仿宋_GB2312" w:cs="仿宋_GB2312"/>
                <w:snapToGrid w:val="0"/>
                <w:color w:val="0000FF"/>
                <w:spacing w:val="-14"/>
                <w:kern w:val="21"/>
                <w:sz w:val="24"/>
              </w:rPr>
            </w:pPr>
          </w:p>
        </w:tc>
        <w:tc>
          <w:tcPr>
            <w:tcW w:w="420" w:type="pct"/>
            <w:vMerge w:val="continue"/>
            <w:vAlign w:val="center"/>
          </w:tcPr>
          <w:p w14:paraId="3A43C277">
            <w:pPr>
              <w:kinsoku w:val="0"/>
              <w:overflowPunct w:val="0"/>
              <w:autoSpaceDE w:val="0"/>
              <w:autoSpaceDN w:val="0"/>
              <w:adjustRightInd w:val="0"/>
              <w:snapToGrid w:val="0"/>
              <w:jc w:val="left"/>
              <w:rPr>
                <w:rFonts w:hint="eastAsia" w:ascii="仿宋_GB2312" w:hAnsi="仿宋_GB2312" w:eastAsia="仿宋_GB2312" w:cs="仿宋_GB2312"/>
                <w:snapToGrid w:val="0"/>
                <w:color w:val="0000FF"/>
                <w:spacing w:val="-14"/>
                <w:kern w:val="21"/>
                <w:sz w:val="24"/>
              </w:rPr>
            </w:pPr>
          </w:p>
        </w:tc>
        <w:tc>
          <w:tcPr>
            <w:tcW w:w="536" w:type="pct"/>
            <w:vMerge w:val="continue"/>
            <w:vAlign w:val="center"/>
          </w:tcPr>
          <w:p w14:paraId="54882C37">
            <w:pPr>
              <w:snapToGrid w:val="0"/>
              <w:spacing w:line="240" w:lineRule="atLeast"/>
              <w:rPr>
                <w:rFonts w:hint="eastAsia" w:ascii="仿宋_GB2312" w:hAnsi="仿宋_GB2312" w:eastAsia="仿宋_GB2312" w:cs="仿宋_GB2312"/>
                <w:snapToGrid w:val="0"/>
                <w:color w:val="0000FF"/>
                <w:spacing w:val="-14"/>
                <w:kern w:val="21"/>
                <w:sz w:val="24"/>
              </w:rPr>
            </w:pPr>
          </w:p>
        </w:tc>
      </w:tr>
      <w:tr w14:paraId="61611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5" w:hRule="atLeast"/>
          <w:jc w:val="center"/>
        </w:trPr>
        <w:tc>
          <w:tcPr>
            <w:tcW w:w="677" w:type="pct"/>
            <w:vAlign w:val="center"/>
          </w:tcPr>
          <w:p w14:paraId="510A756A">
            <w:pPr>
              <w:kinsoku w:val="0"/>
              <w:overflowPunct w:val="0"/>
              <w:autoSpaceDE w:val="0"/>
              <w:autoSpaceDN w:val="0"/>
              <w:adjustRightInd w:val="0"/>
              <w:snapToGrid w:val="0"/>
              <w:jc w:val="left"/>
              <w:rPr>
                <w:rFonts w:hint="eastAsia" w:ascii="仿宋_GB2312" w:hAnsi="仿宋_GB2312" w:eastAsia="仿宋_GB2312" w:cs="仿宋_GB2312"/>
                <w:snapToGrid w:val="0"/>
                <w:color w:val="0000FF"/>
                <w:spacing w:val="-14"/>
                <w:kern w:val="21"/>
                <w:sz w:val="24"/>
              </w:rPr>
            </w:pPr>
            <w:r>
              <w:rPr>
                <w:rFonts w:hint="eastAsia" w:ascii="仿宋_GB2312" w:hAnsi="Times New Roman" w:eastAsia="仿宋_GB2312" w:cs="Times New Roman"/>
                <w:b/>
                <w:bCs/>
                <w:sz w:val="24"/>
              </w:rPr>
              <w:t>医学数据挖掘与R实践</w:t>
            </w:r>
          </w:p>
        </w:tc>
        <w:tc>
          <w:tcPr>
            <w:tcW w:w="309" w:type="pct"/>
            <w:vAlign w:val="center"/>
          </w:tcPr>
          <w:p w14:paraId="19474178">
            <w:pPr>
              <w:kinsoku w:val="0"/>
              <w:overflowPunct w:val="0"/>
              <w:autoSpaceDE w:val="0"/>
              <w:autoSpaceDN w:val="0"/>
              <w:adjustRightInd w:val="0"/>
              <w:snapToGrid w:val="0"/>
              <w:jc w:val="center"/>
              <w:rPr>
                <w:rFonts w:hint="eastAsia" w:ascii="仿宋_GB2312" w:hAnsi="Times New Roman" w:eastAsia="仿宋_GB2312" w:cs="Times New Roman"/>
                <w:b/>
                <w:bCs/>
                <w:sz w:val="24"/>
              </w:rPr>
            </w:pPr>
            <w:r>
              <w:rPr>
                <w:rFonts w:ascii="仿宋_GB2312" w:hAnsi="Times New Roman" w:eastAsia="仿宋_GB2312" w:cs="Times New Roman"/>
                <w:b/>
                <w:bCs/>
                <w:sz w:val="24"/>
              </w:rPr>
              <w:t>1.5</w:t>
            </w:r>
          </w:p>
        </w:tc>
        <w:tc>
          <w:tcPr>
            <w:tcW w:w="313" w:type="pct"/>
            <w:vAlign w:val="center"/>
          </w:tcPr>
          <w:p w14:paraId="5DA769E4">
            <w:pPr>
              <w:kinsoku w:val="0"/>
              <w:overflowPunct w:val="0"/>
              <w:autoSpaceDE w:val="0"/>
              <w:autoSpaceDN w:val="0"/>
              <w:adjustRightInd w:val="0"/>
              <w:snapToGrid w:val="0"/>
              <w:jc w:val="center"/>
              <w:rPr>
                <w:rFonts w:hint="eastAsia" w:ascii="仿宋_GB2312" w:hAnsi="Times New Roman" w:eastAsia="仿宋_GB2312" w:cs="Times New Roman"/>
                <w:b/>
                <w:bCs/>
                <w:sz w:val="24"/>
              </w:rPr>
            </w:pPr>
            <w:r>
              <w:rPr>
                <w:rFonts w:ascii="仿宋_GB2312" w:hAnsi="Times New Roman" w:eastAsia="仿宋_GB2312" w:cs="Times New Roman"/>
                <w:b/>
                <w:bCs/>
                <w:sz w:val="24"/>
              </w:rPr>
              <w:t>24</w:t>
            </w:r>
          </w:p>
        </w:tc>
        <w:tc>
          <w:tcPr>
            <w:tcW w:w="328" w:type="pct"/>
            <w:vAlign w:val="center"/>
          </w:tcPr>
          <w:p w14:paraId="7A962CBC">
            <w:pPr>
              <w:jc w:val="center"/>
              <w:rPr>
                <w:rFonts w:hint="eastAsia" w:ascii="仿宋_GB2312" w:hAnsi="Times New Roman" w:eastAsia="仿宋_GB2312" w:cs="Times New Roman"/>
                <w:b/>
                <w:bCs/>
                <w:sz w:val="24"/>
              </w:rPr>
            </w:pPr>
            <w:r>
              <w:rPr>
                <w:rFonts w:ascii="仿宋_GB2312" w:hAnsi="Times New Roman" w:eastAsia="仿宋_GB2312" w:cs="Times New Roman"/>
                <w:b/>
                <w:bCs/>
                <w:sz w:val="24"/>
              </w:rPr>
              <w:t>24</w:t>
            </w:r>
          </w:p>
        </w:tc>
        <w:tc>
          <w:tcPr>
            <w:tcW w:w="345" w:type="pct"/>
            <w:vAlign w:val="center"/>
          </w:tcPr>
          <w:p w14:paraId="6E3F317D">
            <w:pPr>
              <w:jc w:val="center"/>
              <w:rPr>
                <w:rFonts w:hint="eastAsia" w:ascii="仿宋_GB2312" w:hAnsi="Times New Roman" w:eastAsia="仿宋_GB2312" w:cs="Times New Roman"/>
                <w:b/>
                <w:bCs/>
                <w:sz w:val="24"/>
              </w:rPr>
            </w:pPr>
          </w:p>
        </w:tc>
        <w:tc>
          <w:tcPr>
            <w:tcW w:w="328" w:type="pct"/>
            <w:vAlign w:val="center"/>
          </w:tcPr>
          <w:p w14:paraId="095A78BB">
            <w:pPr>
              <w:jc w:val="center"/>
              <w:rPr>
                <w:rFonts w:hint="eastAsia" w:ascii="仿宋_GB2312" w:hAnsi="Times New Roman" w:eastAsia="仿宋_GB2312" w:cs="Times New Roman"/>
                <w:b/>
                <w:bCs/>
                <w:sz w:val="24"/>
              </w:rPr>
            </w:pPr>
          </w:p>
        </w:tc>
        <w:tc>
          <w:tcPr>
            <w:tcW w:w="351" w:type="pct"/>
            <w:vAlign w:val="center"/>
          </w:tcPr>
          <w:p w14:paraId="6ED65C32">
            <w:pPr>
              <w:jc w:val="center"/>
              <w:rPr>
                <w:rFonts w:hint="eastAsia" w:ascii="仿宋_GB2312" w:hAnsi="Times New Roman" w:eastAsia="仿宋_GB2312" w:cs="Times New Roman"/>
                <w:b/>
                <w:bCs/>
                <w:sz w:val="24"/>
              </w:rPr>
            </w:pPr>
          </w:p>
        </w:tc>
        <w:tc>
          <w:tcPr>
            <w:tcW w:w="434" w:type="pct"/>
            <w:vAlign w:val="center"/>
          </w:tcPr>
          <w:p w14:paraId="309BE832">
            <w:pPr>
              <w:jc w:val="center"/>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秋季</w:t>
            </w:r>
          </w:p>
        </w:tc>
        <w:tc>
          <w:tcPr>
            <w:tcW w:w="368" w:type="pct"/>
            <w:vAlign w:val="center"/>
          </w:tcPr>
          <w:p w14:paraId="68278DB8">
            <w:pPr>
              <w:jc w:val="center"/>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考查</w:t>
            </w:r>
          </w:p>
        </w:tc>
        <w:tc>
          <w:tcPr>
            <w:tcW w:w="591" w:type="pct"/>
            <w:vAlign w:val="center"/>
          </w:tcPr>
          <w:p w14:paraId="5074B797">
            <w:pPr>
              <w:kinsoku w:val="0"/>
              <w:overflowPunct w:val="0"/>
              <w:autoSpaceDE w:val="0"/>
              <w:autoSpaceDN w:val="0"/>
              <w:adjustRightInd w:val="0"/>
              <w:snapToGrid w:val="0"/>
              <w:jc w:val="left"/>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无</w:t>
            </w:r>
          </w:p>
        </w:tc>
        <w:tc>
          <w:tcPr>
            <w:tcW w:w="420" w:type="pct"/>
            <w:vAlign w:val="center"/>
          </w:tcPr>
          <w:p w14:paraId="28B3FD57">
            <w:pPr>
              <w:kinsoku w:val="0"/>
              <w:overflowPunct w:val="0"/>
              <w:autoSpaceDE w:val="0"/>
              <w:autoSpaceDN w:val="0"/>
              <w:adjustRightInd w:val="0"/>
              <w:snapToGrid w:val="0"/>
              <w:jc w:val="left"/>
              <w:rPr>
                <w:rFonts w:hint="eastAsia" w:ascii="仿宋_GB2312" w:hAnsi="Times New Roman" w:eastAsia="仿宋_GB2312" w:cs="Times New Roman"/>
                <w:b/>
                <w:bCs/>
                <w:sz w:val="24"/>
              </w:rPr>
            </w:pPr>
          </w:p>
        </w:tc>
        <w:tc>
          <w:tcPr>
            <w:tcW w:w="536" w:type="pct"/>
            <w:vAlign w:val="center"/>
          </w:tcPr>
          <w:p w14:paraId="1C0AB226">
            <w:pPr>
              <w:snapToGrid w:val="0"/>
              <w:spacing w:line="240" w:lineRule="atLeast"/>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基础医学院</w:t>
            </w:r>
          </w:p>
        </w:tc>
      </w:tr>
      <w:tr w14:paraId="77682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677" w:type="pct"/>
            <w:vAlign w:val="center"/>
          </w:tcPr>
          <w:p w14:paraId="63C20CC2">
            <w:pPr>
              <w:kinsoku w:val="0"/>
              <w:overflowPunct w:val="0"/>
              <w:autoSpaceDE w:val="0"/>
              <w:autoSpaceDN w:val="0"/>
              <w:adjustRightInd w:val="0"/>
              <w:snapToGrid w:val="0"/>
              <w:jc w:val="left"/>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医学图形图像处理</w:t>
            </w:r>
          </w:p>
        </w:tc>
        <w:tc>
          <w:tcPr>
            <w:tcW w:w="309" w:type="pct"/>
            <w:vAlign w:val="center"/>
          </w:tcPr>
          <w:p w14:paraId="267052A8">
            <w:pPr>
              <w:kinsoku w:val="0"/>
              <w:overflowPunct w:val="0"/>
              <w:autoSpaceDE w:val="0"/>
              <w:autoSpaceDN w:val="0"/>
              <w:adjustRightInd w:val="0"/>
              <w:snapToGrid w:val="0"/>
              <w:jc w:val="center"/>
              <w:rPr>
                <w:rFonts w:hint="eastAsia" w:ascii="仿宋_GB2312" w:hAnsi="Times New Roman" w:eastAsia="仿宋_GB2312" w:cs="Times New Roman"/>
                <w:b/>
                <w:bCs/>
                <w:sz w:val="24"/>
              </w:rPr>
            </w:pPr>
            <w:r>
              <w:rPr>
                <w:rFonts w:ascii="仿宋_GB2312" w:hAnsi="Times New Roman" w:eastAsia="仿宋_GB2312" w:cs="Times New Roman"/>
                <w:b/>
                <w:bCs/>
                <w:sz w:val="24"/>
              </w:rPr>
              <w:t>1.5</w:t>
            </w:r>
          </w:p>
        </w:tc>
        <w:tc>
          <w:tcPr>
            <w:tcW w:w="313" w:type="pct"/>
            <w:vAlign w:val="center"/>
          </w:tcPr>
          <w:p w14:paraId="3E1FCB40">
            <w:pPr>
              <w:kinsoku w:val="0"/>
              <w:overflowPunct w:val="0"/>
              <w:autoSpaceDE w:val="0"/>
              <w:autoSpaceDN w:val="0"/>
              <w:adjustRightInd w:val="0"/>
              <w:snapToGrid w:val="0"/>
              <w:jc w:val="center"/>
              <w:rPr>
                <w:rFonts w:hint="eastAsia" w:ascii="仿宋_GB2312" w:hAnsi="Times New Roman" w:eastAsia="仿宋_GB2312" w:cs="Times New Roman"/>
                <w:b/>
                <w:bCs/>
                <w:sz w:val="24"/>
              </w:rPr>
            </w:pPr>
            <w:r>
              <w:rPr>
                <w:rFonts w:ascii="仿宋_GB2312" w:hAnsi="Times New Roman" w:eastAsia="仿宋_GB2312" w:cs="Times New Roman"/>
                <w:b/>
                <w:bCs/>
                <w:sz w:val="24"/>
              </w:rPr>
              <w:t>24</w:t>
            </w:r>
          </w:p>
        </w:tc>
        <w:tc>
          <w:tcPr>
            <w:tcW w:w="328" w:type="pct"/>
            <w:vAlign w:val="center"/>
          </w:tcPr>
          <w:p w14:paraId="64C53662">
            <w:pPr>
              <w:jc w:val="center"/>
              <w:rPr>
                <w:rFonts w:hint="eastAsia" w:ascii="仿宋_GB2312" w:hAnsi="Times New Roman" w:eastAsia="仿宋_GB2312" w:cs="Times New Roman"/>
                <w:b/>
                <w:bCs/>
                <w:sz w:val="24"/>
              </w:rPr>
            </w:pPr>
            <w:r>
              <w:rPr>
                <w:rFonts w:ascii="仿宋_GB2312" w:hAnsi="Times New Roman" w:eastAsia="仿宋_GB2312" w:cs="Times New Roman"/>
                <w:b/>
                <w:bCs/>
                <w:sz w:val="24"/>
              </w:rPr>
              <w:t>24</w:t>
            </w:r>
          </w:p>
        </w:tc>
        <w:tc>
          <w:tcPr>
            <w:tcW w:w="345" w:type="pct"/>
            <w:vAlign w:val="center"/>
          </w:tcPr>
          <w:p w14:paraId="7CC42929">
            <w:pPr>
              <w:jc w:val="center"/>
              <w:rPr>
                <w:rFonts w:hint="eastAsia" w:ascii="仿宋_GB2312" w:hAnsi="Times New Roman" w:eastAsia="仿宋_GB2312" w:cs="Times New Roman"/>
                <w:b/>
                <w:bCs/>
                <w:sz w:val="24"/>
              </w:rPr>
            </w:pPr>
          </w:p>
        </w:tc>
        <w:tc>
          <w:tcPr>
            <w:tcW w:w="328" w:type="pct"/>
            <w:vAlign w:val="center"/>
          </w:tcPr>
          <w:p w14:paraId="0C6C08C0">
            <w:pPr>
              <w:jc w:val="center"/>
              <w:rPr>
                <w:rFonts w:hint="eastAsia" w:ascii="仿宋_GB2312" w:hAnsi="Times New Roman" w:eastAsia="仿宋_GB2312" w:cs="Times New Roman"/>
                <w:b/>
                <w:bCs/>
                <w:sz w:val="24"/>
              </w:rPr>
            </w:pPr>
          </w:p>
        </w:tc>
        <w:tc>
          <w:tcPr>
            <w:tcW w:w="351" w:type="pct"/>
            <w:vAlign w:val="center"/>
          </w:tcPr>
          <w:p w14:paraId="27987529">
            <w:pPr>
              <w:jc w:val="center"/>
              <w:rPr>
                <w:rFonts w:hint="eastAsia" w:ascii="仿宋_GB2312" w:hAnsi="Times New Roman" w:eastAsia="仿宋_GB2312" w:cs="Times New Roman"/>
                <w:b/>
                <w:bCs/>
                <w:sz w:val="24"/>
              </w:rPr>
            </w:pPr>
          </w:p>
        </w:tc>
        <w:tc>
          <w:tcPr>
            <w:tcW w:w="434" w:type="pct"/>
            <w:vAlign w:val="center"/>
          </w:tcPr>
          <w:p w14:paraId="1ED35D58">
            <w:pPr>
              <w:jc w:val="center"/>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秋季</w:t>
            </w:r>
          </w:p>
        </w:tc>
        <w:tc>
          <w:tcPr>
            <w:tcW w:w="368" w:type="pct"/>
            <w:vAlign w:val="center"/>
          </w:tcPr>
          <w:p w14:paraId="2DB0BC55">
            <w:pPr>
              <w:jc w:val="center"/>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考查</w:t>
            </w:r>
          </w:p>
        </w:tc>
        <w:tc>
          <w:tcPr>
            <w:tcW w:w="591" w:type="pct"/>
            <w:vAlign w:val="center"/>
          </w:tcPr>
          <w:p w14:paraId="7035C7AB">
            <w:pPr>
              <w:kinsoku w:val="0"/>
              <w:overflowPunct w:val="0"/>
              <w:autoSpaceDE w:val="0"/>
              <w:autoSpaceDN w:val="0"/>
              <w:adjustRightInd w:val="0"/>
              <w:snapToGrid w:val="0"/>
              <w:jc w:val="left"/>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无</w:t>
            </w:r>
          </w:p>
        </w:tc>
        <w:tc>
          <w:tcPr>
            <w:tcW w:w="420" w:type="pct"/>
            <w:vAlign w:val="center"/>
          </w:tcPr>
          <w:p w14:paraId="5A39CD33">
            <w:pPr>
              <w:kinsoku w:val="0"/>
              <w:overflowPunct w:val="0"/>
              <w:autoSpaceDE w:val="0"/>
              <w:autoSpaceDN w:val="0"/>
              <w:adjustRightInd w:val="0"/>
              <w:snapToGrid w:val="0"/>
              <w:jc w:val="left"/>
              <w:rPr>
                <w:rFonts w:hint="eastAsia" w:ascii="仿宋_GB2312" w:hAnsi="Times New Roman" w:eastAsia="仿宋_GB2312" w:cs="Times New Roman"/>
                <w:b/>
                <w:bCs/>
                <w:sz w:val="24"/>
              </w:rPr>
            </w:pPr>
          </w:p>
        </w:tc>
        <w:tc>
          <w:tcPr>
            <w:tcW w:w="536" w:type="pct"/>
            <w:vAlign w:val="center"/>
          </w:tcPr>
          <w:p w14:paraId="768214E3">
            <w:pPr>
              <w:snapToGrid w:val="0"/>
              <w:spacing w:line="240" w:lineRule="atLeast"/>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基础医学院+公共卫生学院</w:t>
            </w:r>
          </w:p>
        </w:tc>
      </w:tr>
      <w:tr w14:paraId="51C0D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5" w:hRule="atLeast"/>
          <w:jc w:val="center"/>
        </w:trPr>
        <w:tc>
          <w:tcPr>
            <w:tcW w:w="677" w:type="pct"/>
            <w:vAlign w:val="center"/>
          </w:tcPr>
          <w:p w14:paraId="73012499">
            <w:pPr>
              <w:kinsoku w:val="0"/>
              <w:overflowPunct w:val="0"/>
              <w:autoSpaceDE w:val="0"/>
              <w:autoSpaceDN w:val="0"/>
              <w:adjustRightInd w:val="0"/>
              <w:snapToGrid w:val="0"/>
              <w:jc w:val="left"/>
              <w:rPr>
                <w:rFonts w:hint="eastAsia" w:ascii="仿宋_GB2312" w:hAnsi="Times New Roman" w:eastAsia="仿宋_GB2312" w:cs="Times New Roman"/>
                <w:b/>
                <w:bCs/>
                <w:sz w:val="24"/>
              </w:rPr>
            </w:pPr>
            <w:bookmarkStart w:id="0" w:name="_GoBack" w:colFirst="7" w:colLast="7"/>
            <w:r>
              <w:rPr>
                <w:rFonts w:hint="eastAsia" w:ascii="仿宋_GB2312" w:hAnsi="Times New Roman" w:eastAsia="仿宋_GB2312" w:cs="Times New Roman"/>
                <w:b/>
                <w:bCs/>
                <w:sz w:val="24"/>
              </w:rPr>
              <w:t>中医健康医疗大数据建模方法与应用</w:t>
            </w:r>
          </w:p>
        </w:tc>
        <w:tc>
          <w:tcPr>
            <w:tcW w:w="309" w:type="pct"/>
            <w:vAlign w:val="center"/>
          </w:tcPr>
          <w:p w14:paraId="0DE5F068">
            <w:pPr>
              <w:kinsoku w:val="0"/>
              <w:overflowPunct w:val="0"/>
              <w:autoSpaceDE w:val="0"/>
              <w:autoSpaceDN w:val="0"/>
              <w:adjustRightInd w:val="0"/>
              <w:snapToGrid w:val="0"/>
              <w:jc w:val="center"/>
              <w:rPr>
                <w:rFonts w:hint="eastAsia" w:ascii="仿宋_GB2312" w:hAnsi="Times New Roman" w:eastAsia="仿宋_GB2312" w:cs="Times New Roman"/>
                <w:b/>
                <w:bCs/>
                <w:sz w:val="24"/>
              </w:rPr>
            </w:pPr>
            <w:r>
              <w:rPr>
                <w:rFonts w:ascii="仿宋_GB2312" w:hAnsi="Times New Roman" w:eastAsia="仿宋_GB2312" w:cs="Times New Roman"/>
                <w:b/>
                <w:bCs/>
                <w:sz w:val="24"/>
              </w:rPr>
              <w:t>1.5</w:t>
            </w:r>
          </w:p>
        </w:tc>
        <w:tc>
          <w:tcPr>
            <w:tcW w:w="313" w:type="pct"/>
            <w:vAlign w:val="center"/>
          </w:tcPr>
          <w:p w14:paraId="49446BC5">
            <w:pPr>
              <w:kinsoku w:val="0"/>
              <w:overflowPunct w:val="0"/>
              <w:autoSpaceDE w:val="0"/>
              <w:autoSpaceDN w:val="0"/>
              <w:adjustRightInd w:val="0"/>
              <w:snapToGrid w:val="0"/>
              <w:jc w:val="center"/>
              <w:rPr>
                <w:rFonts w:hint="eastAsia" w:ascii="仿宋_GB2312" w:hAnsi="Times New Roman" w:eastAsia="仿宋_GB2312" w:cs="Times New Roman"/>
                <w:b/>
                <w:bCs/>
                <w:sz w:val="24"/>
              </w:rPr>
            </w:pPr>
            <w:r>
              <w:rPr>
                <w:rFonts w:ascii="仿宋_GB2312" w:hAnsi="Times New Roman" w:eastAsia="仿宋_GB2312" w:cs="Times New Roman"/>
                <w:b/>
                <w:bCs/>
                <w:sz w:val="24"/>
              </w:rPr>
              <w:t>24</w:t>
            </w:r>
          </w:p>
        </w:tc>
        <w:tc>
          <w:tcPr>
            <w:tcW w:w="328" w:type="pct"/>
            <w:vAlign w:val="center"/>
          </w:tcPr>
          <w:p w14:paraId="60E741ED">
            <w:pPr>
              <w:jc w:val="center"/>
              <w:rPr>
                <w:rFonts w:hint="eastAsia" w:ascii="仿宋_GB2312" w:hAnsi="Times New Roman" w:eastAsia="仿宋_GB2312" w:cs="Times New Roman"/>
                <w:b/>
                <w:bCs/>
                <w:sz w:val="24"/>
              </w:rPr>
            </w:pPr>
            <w:r>
              <w:rPr>
                <w:rFonts w:ascii="仿宋_GB2312" w:hAnsi="Times New Roman" w:eastAsia="仿宋_GB2312" w:cs="Times New Roman"/>
                <w:b/>
                <w:bCs/>
                <w:sz w:val="24"/>
              </w:rPr>
              <w:t>24</w:t>
            </w:r>
          </w:p>
        </w:tc>
        <w:tc>
          <w:tcPr>
            <w:tcW w:w="345" w:type="pct"/>
            <w:vAlign w:val="center"/>
          </w:tcPr>
          <w:p w14:paraId="22D90760">
            <w:pPr>
              <w:jc w:val="center"/>
              <w:rPr>
                <w:rFonts w:hint="eastAsia" w:ascii="仿宋_GB2312" w:hAnsi="Times New Roman" w:eastAsia="仿宋_GB2312" w:cs="Times New Roman"/>
                <w:b/>
                <w:bCs/>
                <w:sz w:val="24"/>
              </w:rPr>
            </w:pPr>
          </w:p>
        </w:tc>
        <w:tc>
          <w:tcPr>
            <w:tcW w:w="328" w:type="pct"/>
            <w:vAlign w:val="center"/>
          </w:tcPr>
          <w:p w14:paraId="7AFCC563">
            <w:pPr>
              <w:jc w:val="center"/>
              <w:rPr>
                <w:rFonts w:hint="eastAsia" w:ascii="仿宋_GB2312" w:hAnsi="Times New Roman" w:eastAsia="仿宋_GB2312" w:cs="Times New Roman"/>
                <w:b/>
                <w:bCs/>
                <w:sz w:val="24"/>
              </w:rPr>
            </w:pPr>
          </w:p>
        </w:tc>
        <w:tc>
          <w:tcPr>
            <w:tcW w:w="351" w:type="pct"/>
            <w:vAlign w:val="center"/>
          </w:tcPr>
          <w:p w14:paraId="4E2D6D29">
            <w:pPr>
              <w:jc w:val="center"/>
              <w:rPr>
                <w:rFonts w:hint="eastAsia" w:ascii="仿宋_GB2312" w:hAnsi="Times New Roman" w:eastAsia="仿宋_GB2312" w:cs="Times New Roman"/>
                <w:b/>
                <w:bCs/>
                <w:sz w:val="24"/>
              </w:rPr>
            </w:pPr>
          </w:p>
        </w:tc>
        <w:tc>
          <w:tcPr>
            <w:tcW w:w="434" w:type="pct"/>
            <w:vAlign w:val="center"/>
          </w:tcPr>
          <w:p w14:paraId="3FC1A406">
            <w:pPr>
              <w:jc w:val="center"/>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春季</w:t>
            </w:r>
          </w:p>
        </w:tc>
        <w:tc>
          <w:tcPr>
            <w:tcW w:w="368" w:type="pct"/>
            <w:vAlign w:val="center"/>
          </w:tcPr>
          <w:p w14:paraId="02BE43C3">
            <w:pPr>
              <w:jc w:val="center"/>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考查</w:t>
            </w:r>
          </w:p>
        </w:tc>
        <w:tc>
          <w:tcPr>
            <w:tcW w:w="591" w:type="pct"/>
            <w:vAlign w:val="center"/>
          </w:tcPr>
          <w:p w14:paraId="583A518D">
            <w:pPr>
              <w:kinsoku w:val="0"/>
              <w:overflowPunct w:val="0"/>
              <w:autoSpaceDE w:val="0"/>
              <w:autoSpaceDN w:val="0"/>
              <w:adjustRightInd w:val="0"/>
              <w:snapToGrid w:val="0"/>
              <w:jc w:val="left"/>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无</w:t>
            </w:r>
          </w:p>
        </w:tc>
        <w:tc>
          <w:tcPr>
            <w:tcW w:w="420" w:type="pct"/>
            <w:vAlign w:val="center"/>
          </w:tcPr>
          <w:p w14:paraId="50577387">
            <w:pPr>
              <w:kinsoku w:val="0"/>
              <w:overflowPunct w:val="0"/>
              <w:autoSpaceDE w:val="0"/>
              <w:autoSpaceDN w:val="0"/>
              <w:adjustRightInd w:val="0"/>
              <w:snapToGrid w:val="0"/>
              <w:jc w:val="left"/>
              <w:rPr>
                <w:rFonts w:hint="eastAsia" w:ascii="仿宋_GB2312" w:hAnsi="Times New Roman" w:eastAsia="仿宋_GB2312" w:cs="Times New Roman"/>
                <w:b/>
                <w:bCs/>
                <w:sz w:val="24"/>
              </w:rPr>
            </w:pPr>
          </w:p>
        </w:tc>
        <w:tc>
          <w:tcPr>
            <w:tcW w:w="536" w:type="pct"/>
            <w:vAlign w:val="center"/>
          </w:tcPr>
          <w:p w14:paraId="45F7E2B3">
            <w:pPr>
              <w:snapToGrid w:val="0"/>
              <w:spacing w:line="240" w:lineRule="atLeast"/>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基础医学院</w:t>
            </w:r>
          </w:p>
        </w:tc>
      </w:tr>
      <w:tr w14:paraId="41F32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5" w:hRule="atLeast"/>
          <w:jc w:val="center"/>
        </w:trPr>
        <w:tc>
          <w:tcPr>
            <w:tcW w:w="677" w:type="pct"/>
            <w:vAlign w:val="center"/>
          </w:tcPr>
          <w:p w14:paraId="6D6BAF5E">
            <w:pPr>
              <w:kinsoku w:val="0"/>
              <w:overflowPunct w:val="0"/>
              <w:autoSpaceDE w:val="0"/>
              <w:autoSpaceDN w:val="0"/>
              <w:adjustRightInd w:val="0"/>
              <w:snapToGrid w:val="0"/>
              <w:jc w:val="left"/>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中医药统计软件与应用</w:t>
            </w:r>
          </w:p>
        </w:tc>
        <w:tc>
          <w:tcPr>
            <w:tcW w:w="309" w:type="pct"/>
            <w:vAlign w:val="center"/>
          </w:tcPr>
          <w:p w14:paraId="57339977">
            <w:pPr>
              <w:kinsoku w:val="0"/>
              <w:overflowPunct w:val="0"/>
              <w:autoSpaceDE w:val="0"/>
              <w:autoSpaceDN w:val="0"/>
              <w:adjustRightInd w:val="0"/>
              <w:snapToGrid w:val="0"/>
              <w:jc w:val="center"/>
              <w:rPr>
                <w:rFonts w:hint="eastAsia" w:ascii="仿宋_GB2312" w:hAnsi="Times New Roman" w:eastAsia="仿宋_GB2312" w:cs="Times New Roman"/>
                <w:b/>
                <w:bCs/>
                <w:sz w:val="24"/>
              </w:rPr>
            </w:pPr>
            <w:r>
              <w:rPr>
                <w:rFonts w:ascii="仿宋_GB2312" w:hAnsi="Times New Roman" w:eastAsia="仿宋_GB2312" w:cs="Times New Roman"/>
                <w:b/>
                <w:bCs/>
                <w:sz w:val="24"/>
              </w:rPr>
              <w:t>1.5</w:t>
            </w:r>
          </w:p>
        </w:tc>
        <w:tc>
          <w:tcPr>
            <w:tcW w:w="313" w:type="pct"/>
            <w:vAlign w:val="center"/>
          </w:tcPr>
          <w:p w14:paraId="71934EDB">
            <w:pPr>
              <w:kinsoku w:val="0"/>
              <w:overflowPunct w:val="0"/>
              <w:autoSpaceDE w:val="0"/>
              <w:autoSpaceDN w:val="0"/>
              <w:adjustRightInd w:val="0"/>
              <w:snapToGrid w:val="0"/>
              <w:jc w:val="center"/>
              <w:rPr>
                <w:rFonts w:hint="eastAsia" w:ascii="仿宋_GB2312" w:hAnsi="Times New Roman" w:eastAsia="仿宋_GB2312" w:cs="Times New Roman"/>
                <w:b/>
                <w:bCs/>
                <w:sz w:val="24"/>
              </w:rPr>
            </w:pPr>
            <w:r>
              <w:rPr>
                <w:rFonts w:ascii="仿宋_GB2312" w:hAnsi="Times New Roman" w:eastAsia="仿宋_GB2312" w:cs="Times New Roman"/>
                <w:b/>
                <w:bCs/>
                <w:sz w:val="24"/>
              </w:rPr>
              <w:t>24</w:t>
            </w:r>
          </w:p>
        </w:tc>
        <w:tc>
          <w:tcPr>
            <w:tcW w:w="328" w:type="pct"/>
            <w:vAlign w:val="center"/>
          </w:tcPr>
          <w:p w14:paraId="3B452597">
            <w:pPr>
              <w:jc w:val="center"/>
              <w:rPr>
                <w:rFonts w:hint="eastAsia" w:ascii="仿宋_GB2312" w:hAnsi="Times New Roman" w:eastAsia="仿宋_GB2312" w:cs="Times New Roman"/>
                <w:b/>
                <w:bCs/>
                <w:sz w:val="24"/>
              </w:rPr>
            </w:pPr>
            <w:r>
              <w:rPr>
                <w:rFonts w:ascii="仿宋_GB2312" w:hAnsi="Times New Roman" w:eastAsia="仿宋_GB2312" w:cs="Times New Roman"/>
                <w:b/>
                <w:bCs/>
                <w:sz w:val="24"/>
              </w:rPr>
              <w:t>24</w:t>
            </w:r>
          </w:p>
        </w:tc>
        <w:tc>
          <w:tcPr>
            <w:tcW w:w="345" w:type="pct"/>
            <w:vAlign w:val="center"/>
          </w:tcPr>
          <w:p w14:paraId="66BFD969">
            <w:pPr>
              <w:jc w:val="center"/>
              <w:rPr>
                <w:rFonts w:hint="eastAsia" w:ascii="仿宋_GB2312" w:hAnsi="Times New Roman" w:eastAsia="仿宋_GB2312" w:cs="Times New Roman"/>
                <w:b/>
                <w:bCs/>
                <w:sz w:val="24"/>
              </w:rPr>
            </w:pPr>
          </w:p>
        </w:tc>
        <w:tc>
          <w:tcPr>
            <w:tcW w:w="328" w:type="pct"/>
            <w:vAlign w:val="center"/>
          </w:tcPr>
          <w:p w14:paraId="69047CE4">
            <w:pPr>
              <w:jc w:val="center"/>
              <w:rPr>
                <w:rFonts w:hint="eastAsia" w:ascii="仿宋_GB2312" w:hAnsi="Times New Roman" w:eastAsia="仿宋_GB2312" w:cs="Times New Roman"/>
                <w:b/>
                <w:bCs/>
                <w:sz w:val="24"/>
              </w:rPr>
            </w:pPr>
          </w:p>
        </w:tc>
        <w:tc>
          <w:tcPr>
            <w:tcW w:w="351" w:type="pct"/>
            <w:vAlign w:val="center"/>
          </w:tcPr>
          <w:p w14:paraId="6C38184F">
            <w:pPr>
              <w:jc w:val="center"/>
              <w:rPr>
                <w:rFonts w:hint="eastAsia" w:ascii="仿宋_GB2312" w:hAnsi="Times New Roman" w:eastAsia="仿宋_GB2312" w:cs="Times New Roman"/>
                <w:b/>
                <w:bCs/>
                <w:sz w:val="24"/>
              </w:rPr>
            </w:pPr>
          </w:p>
        </w:tc>
        <w:tc>
          <w:tcPr>
            <w:tcW w:w="434" w:type="pct"/>
            <w:vAlign w:val="center"/>
          </w:tcPr>
          <w:p w14:paraId="3F09749A">
            <w:pPr>
              <w:jc w:val="center"/>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春季</w:t>
            </w:r>
          </w:p>
        </w:tc>
        <w:tc>
          <w:tcPr>
            <w:tcW w:w="368" w:type="pct"/>
            <w:vAlign w:val="center"/>
          </w:tcPr>
          <w:p w14:paraId="68CB12FB">
            <w:pPr>
              <w:jc w:val="center"/>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考查</w:t>
            </w:r>
          </w:p>
        </w:tc>
        <w:tc>
          <w:tcPr>
            <w:tcW w:w="591" w:type="pct"/>
            <w:vAlign w:val="center"/>
          </w:tcPr>
          <w:p w14:paraId="51A41B9F">
            <w:pPr>
              <w:kinsoku w:val="0"/>
              <w:overflowPunct w:val="0"/>
              <w:autoSpaceDE w:val="0"/>
              <w:autoSpaceDN w:val="0"/>
              <w:adjustRightInd w:val="0"/>
              <w:snapToGrid w:val="0"/>
              <w:jc w:val="left"/>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无</w:t>
            </w:r>
          </w:p>
        </w:tc>
        <w:tc>
          <w:tcPr>
            <w:tcW w:w="420" w:type="pct"/>
            <w:vAlign w:val="center"/>
          </w:tcPr>
          <w:p w14:paraId="1FC486F1">
            <w:pPr>
              <w:kinsoku w:val="0"/>
              <w:overflowPunct w:val="0"/>
              <w:autoSpaceDE w:val="0"/>
              <w:autoSpaceDN w:val="0"/>
              <w:adjustRightInd w:val="0"/>
              <w:snapToGrid w:val="0"/>
              <w:jc w:val="left"/>
              <w:rPr>
                <w:rFonts w:hint="eastAsia" w:ascii="仿宋_GB2312" w:hAnsi="Times New Roman" w:eastAsia="仿宋_GB2312" w:cs="Times New Roman"/>
                <w:b/>
                <w:bCs/>
                <w:sz w:val="24"/>
              </w:rPr>
            </w:pPr>
          </w:p>
        </w:tc>
        <w:tc>
          <w:tcPr>
            <w:tcW w:w="536" w:type="pct"/>
            <w:vAlign w:val="center"/>
          </w:tcPr>
          <w:p w14:paraId="51799FC5">
            <w:pPr>
              <w:snapToGrid w:val="0"/>
              <w:spacing w:line="240" w:lineRule="atLeast"/>
              <w:rPr>
                <w:rFonts w:hint="eastAsia" w:ascii="仿宋_GB2312" w:hAnsi="Times New Roman" w:eastAsia="仿宋_GB2312" w:cs="Times New Roman"/>
                <w:b/>
                <w:bCs/>
                <w:sz w:val="24"/>
              </w:rPr>
            </w:pPr>
            <w:r>
              <w:rPr>
                <w:rFonts w:hint="eastAsia" w:ascii="仿宋_GB2312" w:hAnsi="Times New Roman" w:eastAsia="仿宋_GB2312" w:cs="Times New Roman"/>
                <w:b/>
                <w:bCs/>
                <w:sz w:val="24"/>
              </w:rPr>
              <w:t>基础医学院+公共卫生学院</w:t>
            </w:r>
          </w:p>
        </w:tc>
      </w:tr>
      <w:bookmarkEnd w:id="0"/>
      <w:tr w14:paraId="27073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exact"/>
          <w:jc w:val="center"/>
        </w:trPr>
        <w:tc>
          <w:tcPr>
            <w:tcW w:w="677" w:type="pct"/>
            <w:vAlign w:val="center"/>
          </w:tcPr>
          <w:p w14:paraId="7BF27AF2">
            <w:pPr>
              <w:kinsoku w:val="0"/>
              <w:overflowPunct w:val="0"/>
              <w:autoSpaceDE w:val="0"/>
              <w:autoSpaceDN w:val="0"/>
              <w:adjustRightInd w:val="0"/>
              <w:snapToGrid w:val="0"/>
              <w:jc w:val="center"/>
              <w:rPr>
                <w:rFonts w:hint="eastAsia"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总学分</w:t>
            </w:r>
          </w:p>
        </w:tc>
        <w:tc>
          <w:tcPr>
            <w:tcW w:w="4323" w:type="pct"/>
            <w:gridSpan w:val="11"/>
            <w:vAlign w:val="center"/>
          </w:tcPr>
          <w:p w14:paraId="206392E6">
            <w:pPr>
              <w:kinsoku w:val="0"/>
              <w:overflowPunct w:val="0"/>
              <w:autoSpaceDE w:val="0"/>
              <w:autoSpaceDN w:val="0"/>
              <w:adjustRightInd w:val="0"/>
              <w:snapToGrid w:val="0"/>
              <w:jc w:val="center"/>
              <w:rPr>
                <w:rFonts w:hint="eastAsia"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6</w:t>
            </w:r>
          </w:p>
        </w:tc>
      </w:tr>
    </w:tbl>
    <w:p w14:paraId="5A67C721">
      <w:pPr>
        <w:kinsoku w:val="0"/>
        <w:overflowPunct w:val="0"/>
        <w:autoSpaceDE w:val="0"/>
        <w:autoSpaceDN w:val="0"/>
        <w:adjustRightInd w:val="0"/>
        <w:snapToGrid w:val="0"/>
        <w:spacing w:line="560" w:lineRule="exact"/>
        <w:jc w:val="left"/>
        <w:rPr>
          <w:rFonts w:hint="eastAsia" w:ascii="仿宋_GB2312" w:hAnsi="仿宋_GB2312" w:eastAsia="仿宋_GB2312" w:cs="仿宋_GB2312"/>
          <w:snapToGrid w:val="0"/>
          <w:color w:val="C00000"/>
          <w:spacing w:val="-14"/>
          <w:kern w:val="21"/>
          <w:sz w:val="24"/>
        </w:rPr>
      </w:pPr>
      <w:r>
        <w:rPr>
          <w:rFonts w:hint="eastAsia" w:ascii="仿宋_GB2312" w:hAnsi="仿宋_GB2312" w:eastAsia="仿宋_GB2312" w:cs="仿宋_GB2312"/>
          <w:snapToGrid w:val="0"/>
          <w:color w:val="C00000"/>
          <w:spacing w:val="-14"/>
          <w:kern w:val="21"/>
          <w:sz w:val="24"/>
        </w:rPr>
        <w:t>注：开课学期填写2025年秋季学期、2026年春季学期</w:t>
      </w:r>
    </w:p>
    <w:p w14:paraId="5A4F2177">
      <w:pPr>
        <w:spacing w:line="500" w:lineRule="exact"/>
        <w:rPr>
          <w:rFonts w:hint="eastAsia" w:ascii="仿宋" w:hAnsi="仿宋" w:eastAsia="仿宋" w:cs="仿宋"/>
          <w:color w:val="0000FF"/>
          <w:sz w:val="32"/>
          <w:szCs w:val="32"/>
        </w:rPr>
      </w:pPr>
      <w:r>
        <w:rPr>
          <w:rFonts w:hint="eastAsia" w:ascii="黑体" w:hAnsi="黑体" w:eastAsia="黑体" w:cs="黑体"/>
          <w:sz w:val="32"/>
          <w:szCs w:val="32"/>
        </w:rPr>
        <w:t>五、咨询方式</w:t>
      </w:r>
    </w:p>
    <w:p w14:paraId="7902B9CC">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1.QQ群（群号：1051279901）</w:t>
      </w:r>
    </w:p>
    <w:p w14:paraId="38BE1F82">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2.联系人及联系电话（胡灵芝,19916366718）</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A5ED7">
    <w:pPr>
      <w:pStyle w:val="2"/>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1A34DDF">
                          <w:pPr>
                            <w:pStyle w:val="2"/>
                            <w:rPr>
                              <w:rFonts w:hint="eastAsia"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PAGE  \* MERGEFORMAT </w:instrText>
                          </w:r>
                          <w:r>
                            <w:rPr>
                              <w:rFonts w:hint="eastAsia" w:ascii="宋体" w:hAnsi="宋体" w:cs="宋体"/>
                              <w:sz w:val="24"/>
                            </w:rPr>
                            <w:fldChar w:fldCharType="separate"/>
                          </w:r>
                          <w:r>
                            <w:rPr>
                              <w:rFonts w:hint="eastAsia" w:ascii="宋体" w:hAnsi="宋体" w:cs="宋体"/>
                              <w:sz w:val="24"/>
                            </w:rPr>
                            <w:t>1</w:t>
                          </w:r>
                          <w:r>
                            <w:rPr>
                              <w:rFonts w:hint="eastAsia" w:ascii="宋体" w:hAnsi="宋体" w:cs="宋体"/>
                              <w:sz w:val="24"/>
                            </w:rP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JYnrP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Alies8kBAACSAwAADgAAAAAAAAABACAAAAAfAQAAZHJzL2Uyb0Rv&#10;Yy54bWxQSwUGAAAAAAYABgBZAQAAWgUAAAAA&#10;">
              <v:fill on="f" focussize="0,0"/>
              <v:stroke on="f"/>
              <v:imagedata o:title=""/>
              <o:lock v:ext="edit" aspectratio="f"/>
              <v:textbox inset="0mm,0mm,0mm,0mm" style="mso-fit-shape-to-text:t;">
                <w:txbxContent>
                  <w:p w14:paraId="21A34DDF">
                    <w:pPr>
                      <w:pStyle w:val="2"/>
                      <w:rPr>
                        <w:rFonts w:hint="eastAsia"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PAGE  \* MERGEFORMAT </w:instrText>
                    </w:r>
                    <w:r>
                      <w:rPr>
                        <w:rFonts w:hint="eastAsia" w:ascii="宋体" w:hAnsi="宋体" w:cs="宋体"/>
                        <w:sz w:val="24"/>
                      </w:rPr>
                      <w:fldChar w:fldCharType="separate"/>
                    </w:r>
                    <w:r>
                      <w:rPr>
                        <w:rFonts w:hint="eastAsia" w:ascii="宋体" w:hAnsi="宋体" w:cs="宋体"/>
                        <w:sz w:val="24"/>
                      </w:rPr>
                      <w:t>1</w:t>
                    </w:r>
                    <w:r>
                      <w:rPr>
                        <w:rFonts w:hint="eastAsia" w:ascii="宋体" w:hAnsi="宋体" w:cs="宋体"/>
                        <w:sz w:val="24"/>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A6E3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qFormat/>
    <w:uiPriority w:val="1"/>
  </w:style>
  <w:style w:type="table" w:default="1" w:styleId="4">
    <w:name w:val="Normal Table"/>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1169</Words>
  <Characters>1241</Characters>
  <Paragraphs>119</Paragraphs>
  <TotalTime>1</TotalTime>
  <ScaleCrop>false</ScaleCrop>
  <LinksUpToDate>false</LinksUpToDate>
  <CharactersWithSpaces>1241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2025-06-29T14:50:00Z</dcterms:created>
  <dc:creator>储</dc:creator>
  <cp:lastModifiedBy>紫苏</cp:lastModifiedBy>
  <cp:lastPrinted>2025-05-06T08:15:00Z</cp:lastPrinted>
  <dcterms:modified xsi:type="dcterms:W3CDTF">2025-09-03T07:06:19Z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818e5209b20746a4b990b1017d0897c8_23</vt:lpwstr>
  </property>
  <property fmtid="{D5CDD505-2E9C-101B-9397-08002B2CF9AE}" pid="4" name="KSOTemplateDocerSaveRecord">
    <vt:lpwstr>eyJoZGlkIjoiNWNhNjFkNDRkY2JhZTRjYzIxMWU4YWQ5ODA1YWNlMTciLCJ1c2VySWQiOiIzMjY2NDUyMjkifQ==</vt:lpwstr>
  </property>
</Properties>
</file>