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78F88">
      <w:pPr>
        <w:keepNext w:val="0"/>
        <w:keepLines w:val="0"/>
        <w:pageBreakBefore w:val="0"/>
        <w:wordWrap/>
        <w:topLinePunct w:val="0"/>
        <w:bidi w:val="0"/>
        <w:spacing w:line="500" w:lineRule="exact"/>
        <w:jc w:val="center"/>
        <w:textAlignment w:val="auto"/>
        <w:rPr>
          <w:rFonts w:ascii="仿宋" w:hAnsi="仿宋" w:eastAsia="仿宋" w:cs="仿宋"/>
          <w:sz w:val="32"/>
          <w:szCs w:val="32"/>
        </w:rPr>
      </w:pPr>
      <w:r>
        <w:rPr>
          <w:rFonts w:hint="eastAsia" w:ascii="方正小标宋简体" w:hAnsi="方正小标宋简体" w:eastAsia="方正小标宋简体" w:cs="方正小标宋简体"/>
          <w:sz w:val="36"/>
          <w:szCs w:val="36"/>
        </w:rPr>
        <w:t>“中药制剂与临床”微专业招生简章</w:t>
      </w:r>
    </w:p>
    <w:p w14:paraId="52E9601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一、微专业简介</w:t>
      </w:r>
    </w:p>
    <w:p w14:paraId="66BA3E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专业针对中医学类、中西医临床医学等专业学生在临床实践中缺乏对中药饮片和中药制剂的科学认知和全面理解，导致处方时不能科学合理使用不同规格饮片及中药制剂，可能影响中药临床的合理应用。基于此，本专业主要面向中医学类、中西医临床类专业学生，通过相关课程的学习，提升学生对中药饮片和制剂的临床应用能力。同时，熟悉医疗机构特色中药制剂的研究与开发，为开展临床药物研究奠定基础，有效提升学生科研创新意识和转化能力。</w:t>
      </w:r>
    </w:p>
    <w:p w14:paraId="346610A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FF"/>
          <w:sz w:val="32"/>
          <w:szCs w:val="32"/>
        </w:rPr>
      </w:pPr>
      <w:r>
        <w:rPr>
          <w:rFonts w:hint="eastAsia" w:ascii="黑体" w:hAnsi="黑体" w:eastAsia="黑体" w:cs="黑体"/>
          <w:sz w:val="32"/>
          <w:szCs w:val="32"/>
        </w:rPr>
        <w:t>二、培养目标</w:t>
      </w:r>
    </w:p>
    <w:p w14:paraId="13D01F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知识目标：掌握临床常用不同规格中药饮片、中成药的药性及临床作用特点；熟悉中药制剂药理作用及体内过程；了解医院制剂开发流程。</w:t>
      </w:r>
    </w:p>
    <w:p w14:paraId="7B1627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能力目标：能够根据辩证结果开具合理中药饮片及中成药处方，能够辨识常见不同规格中药饮片；熟悉常见中药饮片及中药制剂生产过程；掌握开展医院制剂开发基本技能。</w:t>
      </w:r>
    </w:p>
    <w:p w14:paraId="75430B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素养目标：精进中医类专业学生的临床处方能力，中医药科研素养得到有效提升，进一步增强医学生的中医药文化自信。</w:t>
      </w:r>
    </w:p>
    <w:p w14:paraId="470D4AE9">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hint="eastAsia" w:ascii="黑体" w:hAnsi="黑体" w:eastAsia="黑体" w:cs="黑体"/>
          <w:sz w:val="32"/>
          <w:szCs w:val="32"/>
        </w:rPr>
        <w:t>三、招生对象及要求</w:t>
      </w:r>
    </w:p>
    <w:p w14:paraId="35B2907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1.招生对象为我校</w:t>
      </w:r>
      <w:r>
        <w:rPr>
          <w:rFonts w:hint="eastAsia" w:ascii="仿宋_GB2312" w:hAnsi="仿宋_GB2312" w:eastAsia="仿宋_GB2312" w:cs="仿宋_GB2312"/>
          <w:sz w:val="32"/>
          <w:szCs w:val="32"/>
        </w:rPr>
        <w:t>中医学类、中西医</w:t>
      </w:r>
      <w:r>
        <w:rPr>
          <w:rFonts w:hint="eastAsia" w:ascii="仿宋_GB2312" w:hAnsi="仿宋_GB2312" w:eastAsia="仿宋_GB2312" w:cs="仿宋_GB2312"/>
          <w:sz w:val="32"/>
          <w:szCs w:val="32"/>
          <w:lang w:val="en-US" w:eastAsia="zh-CN"/>
        </w:rPr>
        <w:t>临床医学</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val="en-US" w:eastAsia="zh-CN"/>
        </w:rPr>
        <w:t>三年级全日制在校本科生（报名人数大于20人方可开班）</w:t>
      </w:r>
      <w:r>
        <w:rPr>
          <w:rFonts w:hint="eastAsia" w:ascii="仿宋_GB2312" w:hAnsi="仿宋_GB2312" w:eastAsia="仿宋_GB2312" w:cs="仿宋_GB2312"/>
          <w:sz w:val="32"/>
          <w:szCs w:val="32"/>
          <w:lang w:eastAsia="zh-CN"/>
        </w:rPr>
        <w:t>。</w:t>
      </w:r>
    </w:p>
    <w:p w14:paraId="32D27B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2.先修课程要求：</w:t>
      </w:r>
      <w:r>
        <w:rPr>
          <w:rFonts w:hint="eastAsia" w:ascii="仿宋_GB2312" w:hAnsi="仿宋_GB2312" w:eastAsia="仿宋_GB2312" w:cs="仿宋_GB2312"/>
          <w:sz w:val="32"/>
          <w:szCs w:val="32"/>
        </w:rPr>
        <w:t>中医学基础、中药学、方剂学。</w:t>
      </w:r>
    </w:p>
    <w:p w14:paraId="567CB1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3.学生完成微专业全部课程学习，并考核合格后，获得陕西中医药大学《微专业结业证书》。</w:t>
      </w:r>
    </w:p>
    <w:p w14:paraId="07FB8DC8">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hint="eastAsia" w:ascii="黑体" w:hAnsi="黑体" w:eastAsia="黑体" w:cs="黑体"/>
          <w:sz w:val="32"/>
          <w:szCs w:val="32"/>
        </w:rPr>
        <w:t>四、课程设置</w:t>
      </w:r>
    </w:p>
    <w:p w14:paraId="6C0AA88E">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ascii="仿宋" w:hAnsi="仿宋" w:eastAsia="仿宋" w:cs="仿宋"/>
          <w:sz w:val="32"/>
          <w:szCs w:val="32"/>
        </w:rPr>
      </w:pPr>
      <w:r>
        <w:rPr>
          <w:rFonts w:hint="eastAsia" w:ascii="仿宋_GB2312" w:hAnsi="仿宋_GB2312" w:eastAsia="仿宋_GB2312" w:cs="仿宋_GB2312"/>
          <w:b/>
          <w:bCs/>
          <w:sz w:val="32"/>
          <w:szCs w:val="32"/>
        </w:rPr>
        <w:t>陕西中医药大学“中药制剂与临床”微专业课程设置及学时分配表</w:t>
      </w:r>
    </w:p>
    <w:tbl>
      <w:tblPr>
        <w:tblStyle w:val="4"/>
        <w:tblW w:w="6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556"/>
        <w:gridCol w:w="524"/>
        <w:gridCol w:w="585"/>
        <w:gridCol w:w="672"/>
        <w:gridCol w:w="575"/>
        <w:gridCol w:w="588"/>
        <w:gridCol w:w="1251"/>
        <w:gridCol w:w="649"/>
        <w:gridCol w:w="1483"/>
        <w:gridCol w:w="1049"/>
        <w:gridCol w:w="1333"/>
      </w:tblGrid>
      <w:tr w14:paraId="46F9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601" w:type="pct"/>
            <w:vMerge w:val="restart"/>
            <w:vAlign w:val="center"/>
          </w:tcPr>
          <w:p w14:paraId="55FD31A1">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课程名称</w:t>
            </w:r>
          </w:p>
        </w:tc>
        <w:tc>
          <w:tcPr>
            <w:tcW w:w="264" w:type="pct"/>
            <w:vMerge w:val="restart"/>
            <w:vAlign w:val="center"/>
          </w:tcPr>
          <w:p w14:paraId="03ECB804">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学分</w:t>
            </w:r>
          </w:p>
        </w:tc>
        <w:tc>
          <w:tcPr>
            <w:tcW w:w="249" w:type="pct"/>
            <w:vMerge w:val="restart"/>
            <w:vAlign w:val="center"/>
          </w:tcPr>
          <w:p w14:paraId="0F7DA1BB">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学时</w:t>
            </w:r>
          </w:p>
        </w:tc>
        <w:tc>
          <w:tcPr>
            <w:tcW w:w="1149" w:type="pct"/>
            <w:gridSpan w:val="4"/>
            <w:vAlign w:val="center"/>
          </w:tcPr>
          <w:p w14:paraId="586065E9">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学时分配</w:t>
            </w:r>
          </w:p>
        </w:tc>
        <w:tc>
          <w:tcPr>
            <w:tcW w:w="594" w:type="pct"/>
            <w:vMerge w:val="restart"/>
            <w:vAlign w:val="center"/>
          </w:tcPr>
          <w:p w14:paraId="6228A8BD">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开课学期</w:t>
            </w:r>
          </w:p>
        </w:tc>
        <w:tc>
          <w:tcPr>
            <w:tcW w:w="308" w:type="pct"/>
            <w:vMerge w:val="restart"/>
            <w:vAlign w:val="center"/>
          </w:tcPr>
          <w:p w14:paraId="13AE0CE1">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考核方式</w:t>
            </w:r>
          </w:p>
        </w:tc>
        <w:tc>
          <w:tcPr>
            <w:tcW w:w="704" w:type="pct"/>
            <w:vMerge w:val="restart"/>
            <w:vAlign w:val="center"/>
          </w:tcPr>
          <w:p w14:paraId="603A0690">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先修</w:t>
            </w:r>
          </w:p>
          <w:p w14:paraId="6724952E">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课程</w:t>
            </w:r>
          </w:p>
        </w:tc>
        <w:tc>
          <w:tcPr>
            <w:tcW w:w="498" w:type="pct"/>
            <w:vMerge w:val="restart"/>
            <w:vAlign w:val="center"/>
          </w:tcPr>
          <w:p w14:paraId="17796E26">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snapToGrid w:val="0"/>
                <w:spacing w:val="-14"/>
                <w:kern w:val="21"/>
                <w:sz w:val="24"/>
                <w:szCs w:val="24"/>
              </w:rPr>
              <w:t>授课</w:t>
            </w:r>
          </w:p>
          <w:p w14:paraId="6C2DCB1F">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教师</w:t>
            </w:r>
          </w:p>
        </w:tc>
        <w:tc>
          <w:tcPr>
            <w:tcW w:w="629" w:type="pct"/>
            <w:vMerge w:val="restart"/>
            <w:vAlign w:val="center"/>
          </w:tcPr>
          <w:p w14:paraId="60E09347">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snapToGrid w:val="0"/>
                <w:spacing w:val="-14"/>
                <w:kern w:val="21"/>
                <w:sz w:val="24"/>
                <w:szCs w:val="24"/>
              </w:rPr>
              <w:t>开课单位</w:t>
            </w:r>
          </w:p>
        </w:tc>
      </w:tr>
      <w:tr w14:paraId="6E41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01" w:type="pct"/>
            <w:vMerge w:val="continue"/>
            <w:vAlign w:val="center"/>
          </w:tcPr>
          <w:p w14:paraId="02149966">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264" w:type="pct"/>
            <w:vMerge w:val="continue"/>
            <w:vAlign w:val="center"/>
          </w:tcPr>
          <w:p w14:paraId="6640C154">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249" w:type="pct"/>
            <w:vMerge w:val="continue"/>
            <w:vAlign w:val="center"/>
          </w:tcPr>
          <w:p w14:paraId="0D0DF65F">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597" w:type="pct"/>
            <w:gridSpan w:val="2"/>
            <w:vAlign w:val="center"/>
          </w:tcPr>
          <w:p w14:paraId="346D0A16">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kern w:val="0"/>
                <w:sz w:val="24"/>
                <w:szCs w:val="24"/>
              </w:rPr>
              <w:t>理论学时</w:t>
            </w:r>
          </w:p>
        </w:tc>
        <w:tc>
          <w:tcPr>
            <w:tcW w:w="551" w:type="pct"/>
            <w:gridSpan w:val="2"/>
            <w:vAlign w:val="center"/>
          </w:tcPr>
          <w:p w14:paraId="1FFEE0F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b/>
                <w:bCs/>
                <w:snapToGrid w:val="0"/>
                <w:spacing w:val="-14"/>
                <w:kern w:val="21"/>
                <w:sz w:val="24"/>
                <w:szCs w:val="24"/>
              </w:rPr>
            </w:pPr>
            <w:r>
              <w:rPr>
                <w:rFonts w:hint="eastAsia" w:ascii="仿宋_GB2312" w:hAnsi="仿宋_GB2312" w:eastAsia="仿宋_GB2312" w:cs="仿宋_GB2312"/>
                <w:b/>
                <w:bCs/>
                <w:kern w:val="0"/>
                <w:sz w:val="24"/>
                <w:szCs w:val="24"/>
              </w:rPr>
              <w:t>实践学时</w:t>
            </w:r>
          </w:p>
        </w:tc>
        <w:tc>
          <w:tcPr>
            <w:tcW w:w="594" w:type="pct"/>
            <w:vMerge w:val="continue"/>
            <w:vAlign w:val="center"/>
          </w:tcPr>
          <w:p w14:paraId="213445EC">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308" w:type="pct"/>
            <w:vMerge w:val="continue"/>
            <w:vAlign w:val="center"/>
          </w:tcPr>
          <w:p w14:paraId="051CBD22">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704" w:type="pct"/>
            <w:vMerge w:val="continue"/>
            <w:vAlign w:val="center"/>
          </w:tcPr>
          <w:p w14:paraId="7866940F">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498" w:type="pct"/>
            <w:vMerge w:val="continue"/>
            <w:vAlign w:val="center"/>
          </w:tcPr>
          <w:p w14:paraId="0DA5ECB8">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c>
          <w:tcPr>
            <w:tcW w:w="629" w:type="pct"/>
            <w:vMerge w:val="continue"/>
            <w:vAlign w:val="center"/>
          </w:tcPr>
          <w:p w14:paraId="220E2628">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b/>
                <w:bCs/>
                <w:snapToGrid w:val="0"/>
                <w:spacing w:val="-14"/>
                <w:kern w:val="21"/>
                <w:sz w:val="24"/>
                <w:szCs w:val="24"/>
              </w:rPr>
            </w:pPr>
          </w:p>
        </w:tc>
      </w:tr>
      <w:tr w14:paraId="778C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exact"/>
          <w:jc w:val="center"/>
        </w:trPr>
        <w:tc>
          <w:tcPr>
            <w:tcW w:w="601" w:type="pct"/>
            <w:vMerge w:val="continue"/>
            <w:vAlign w:val="center"/>
          </w:tcPr>
          <w:p w14:paraId="7AE5F051">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264" w:type="pct"/>
            <w:vMerge w:val="continue"/>
            <w:vAlign w:val="center"/>
          </w:tcPr>
          <w:p w14:paraId="29692917">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249" w:type="pct"/>
            <w:vMerge w:val="continue"/>
            <w:vAlign w:val="center"/>
          </w:tcPr>
          <w:p w14:paraId="06454274">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278" w:type="pct"/>
            <w:vAlign w:val="center"/>
          </w:tcPr>
          <w:p w14:paraId="17D8C6B7">
            <w:pPr>
              <w:keepNext w:val="0"/>
              <w:keepLines w:val="0"/>
              <w:pageBreakBefore w:val="0"/>
              <w:widowControl/>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kern w:val="0"/>
                <w:sz w:val="24"/>
                <w:szCs w:val="24"/>
              </w:rPr>
              <w:t>线下</w:t>
            </w:r>
          </w:p>
        </w:tc>
        <w:tc>
          <w:tcPr>
            <w:tcW w:w="319" w:type="pct"/>
            <w:vAlign w:val="center"/>
          </w:tcPr>
          <w:p w14:paraId="3285A5D2">
            <w:pPr>
              <w:keepNext w:val="0"/>
              <w:keepLines w:val="0"/>
              <w:pageBreakBefore w:val="0"/>
              <w:widowControl/>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线上</w:t>
            </w:r>
          </w:p>
        </w:tc>
        <w:tc>
          <w:tcPr>
            <w:tcW w:w="273" w:type="pct"/>
            <w:vAlign w:val="center"/>
          </w:tcPr>
          <w:p w14:paraId="5BDA8040">
            <w:pPr>
              <w:keepNext w:val="0"/>
              <w:keepLines w:val="0"/>
              <w:pageBreakBefore w:val="0"/>
              <w:widowControl/>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b/>
                <w:bCs/>
                <w:kern w:val="0"/>
                <w:sz w:val="24"/>
                <w:szCs w:val="24"/>
              </w:rPr>
              <w:t>线下</w:t>
            </w:r>
          </w:p>
        </w:tc>
        <w:tc>
          <w:tcPr>
            <w:tcW w:w="278" w:type="pct"/>
            <w:vAlign w:val="center"/>
          </w:tcPr>
          <w:p w14:paraId="5A291D5E">
            <w:pPr>
              <w:keepNext w:val="0"/>
              <w:keepLines w:val="0"/>
              <w:pageBreakBefore w:val="0"/>
              <w:widowControl/>
              <w:wordWrap/>
              <w:topLinePunct w:val="0"/>
              <w:bidi w:val="0"/>
              <w:spacing w:line="500" w:lineRule="exact"/>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线</w:t>
            </w:r>
          </w:p>
          <w:p w14:paraId="2FBAD7B0">
            <w:pPr>
              <w:keepNext w:val="0"/>
              <w:keepLines w:val="0"/>
              <w:pageBreakBefore w:val="0"/>
              <w:widowControl/>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上</w:t>
            </w:r>
          </w:p>
        </w:tc>
        <w:tc>
          <w:tcPr>
            <w:tcW w:w="594" w:type="pct"/>
            <w:vMerge w:val="continue"/>
            <w:vAlign w:val="center"/>
          </w:tcPr>
          <w:p w14:paraId="485DCCF2">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308" w:type="pct"/>
            <w:vMerge w:val="continue"/>
            <w:vAlign w:val="center"/>
          </w:tcPr>
          <w:p w14:paraId="5818A64E">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704" w:type="pct"/>
            <w:vMerge w:val="continue"/>
            <w:vAlign w:val="center"/>
          </w:tcPr>
          <w:p w14:paraId="7CABEABD">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498" w:type="pct"/>
            <w:vMerge w:val="continue"/>
            <w:vAlign w:val="center"/>
          </w:tcPr>
          <w:p w14:paraId="6E0A4911">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629" w:type="pct"/>
            <w:vMerge w:val="continue"/>
            <w:vAlign w:val="center"/>
          </w:tcPr>
          <w:p w14:paraId="0BB8A1A5">
            <w:pPr>
              <w:keepNext w:val="0"/>
              <w:keepLines w:val="0"/>
              <w:pageBreakBefore w:val="0"/>
              <w:wordWrap/>
              <w:topLinePunct w:val="0"/>
              <w:bidi w:val="0"/>
              <w:snapToGrid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r>
      <w:tr w14:paraId="78F6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jc w:val="center"/>
        </w:trPr>
        <w:tc>
          <w:tcPr>
            <w:tcW w:w="601" w:type="pct"/>
            <w:vAlign w:val="center"/>
          </w:tcPr>
          <w:p w14:paraId="601F8E93">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color w:val="auto"/>
                <w:sz w:val="24"/>
                <w:szCs w:val="24"/>
              </w:rPr>
              <w:t>临床中药炮制学</w:t>
            </w:r>
          </w:p>
        </w:tc>
        <w:tc>
          <w:tcPr>
            <w:tcW w:w="264" w:type="pct"/>
            <w:vAlign w:val="center"/>
          </w:tcPr>
          <w:p w14:paraId="1E69069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w:t>
            </w:r>
          </w:p>
        </w:tc>
        <w:tc>
          <w:tcPr>
            <w:tcW w:w="249" w:type="pct"/>
            <w:vAlign w:val="center"/>
          </w:tcPr>
          <w:p w14:paraId="39187F93">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278" w:type="pct"/>
            <w:vAlign w:val="center"/>
          </w:tcPr>
          <w:p w14:paraId="0448B6EE">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28</w:t>
            </w:r>
          </w:p>
        </w:tc>
        <w:tc>
          <w:tcPr>
            <w:tcW w:w="319" w:type="pct"/>
            <w:vAlign w:val="center"/>
          </w:tcPr>
          <w:p w14:paraId="699748CE">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273" w:type="pct"/>
            <w:vAlign w:val="center"/>
          </w:tcPr>
          <w:p w14:paraId="51CC0DD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4</w:t>
            </w:r>
          </w:p>
        </w:tc>
        <w:tc>
          <w:tcPr>
            <w:tcW w:w="278" w:type="pct"/>
            <w:vAlign w:val="center"/>
          </w:tcPr>
          <w:p w14:paraId="5E856F76">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594" w:type="pct"/>
            <w:vAlign w:val="center"/>
          </w:tcPr>
          <w:p w14:paraId="03B14D47">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春季</w:t>
            </w:r>
            <w:r>
              <w:rPr>
                <w:rFonts w:hint="eastAsia" w:ascii="仿宋_GB2312" w:hAnsi="仿宋_GB2312" w:eastAsia="仿宋_GB2312" w:cs="仿宋_GB2312"/>
                <w:sz w:val="24"/>
                <w:szCs w:val="24"/>
              </w:rPr>
              <w:t>学期</w:t>
            </w:r>
          </w:p>
        </w:tc>
        <w:tc>
          <w:tcPr>
            <w:tcW w:w="308" w:type="pct"/>
            <w:vAlign w:val="center"/>
          </w:tcPr>
          <w:p w14:paraId="290BD837">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704" w:type="pct"/>
            <w:vAlign w:val="center"/>
          </w:tcPr>
          <w:p w14:paraId="5FA3FB9F">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中医学基础</w:t>
            </w:r>
          </w:p>
          <w:p w14:paraId="33C534E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中药学</w:t>
            </w:r>
          </w:p>
          <w:p w14:paraId="772E66B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方剂学</w:t>
            </w:r>
          </w:p>
        </w:tc>
        <w:tc>
          <w:tcPr>
            <w:tcW w:w="498" w:type="pct"/>
            <w:vAlign w:val="center"/>
          </w:tcPr>
          <w:p w14:paraId="3170A360">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赵重博/张桥</w:t>
            </w:r>
          </w:p>
        </w:tc>
        <w:tc>
          <w:tcPr>
            <w:tcW w:w="629" w:type="pct"/>
            <w:vAlign w:val="center"/>
          </w:tcPr>
          <w:p w14:paraId="46928BD6">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药学院</w:t>
            </w:r>
          </w:p>
        </w:tc>
      </w:tr>
      <w:tr w14:paraId="08B4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exact"/>
          <w:jc w:val="center"/>
        </w:trPr>
        <w:tc>
          <w:tcPr>
            <w:tcW w:w="601" w:type="pct"/>
            <w:vAlign w:val="center"/>
          </w:tcPr>
          <w:p w14:paraId="2E55959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color w:val="auto"/>
                <w:sz w:val="24"/>
                <w:szCs w:val="24"/>
              </w:rPr>
              <w:t>中药制剂概论</w:t>
            </w:r>
          </w:p>
        </w:tc>
        <w:tc>
          <w:tcPr>
            <w:tcW w:w="264" w:type="pct"/>
            <w:vAlign w:val="center"/>
          </w:tcPr>
          <w:p w14:paraId="0FBE8A65">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w:t>
            </w:r>
          </w:p>
        </w:tc>
        <w:tc>
          <w:tcPr>
            <w:tcW w:w="249" w:type="pct"/>
            <w:vAlign w:val="center"/>
          </w:tcPr>
          <w:p w14:paraId="121ADD1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278" w:type="pct"/>
            <w:vAlign w:val="center"/>
          </w:tcPr>
          <w:p w14:paraId="6AFB241A">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28</w:t>
            </w:r>
          </w:p>
        </w:tc>
        <w:tc>
          <w:tcPr>
            <w:tcW w:w="319" w:type="pct"/>
            <w:vAlign w:val="center"/>
          </w:tcPr>
          <w:p w14:paraId="3442BA1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273" w:type="pct"/>
            <w:vAlign w:val="center"/>
          </w:tcPr>
          <w:p w14:paraId="65DCA5D3">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4</w:t>
            </w:r>
          </w:p>
        </w:tc>
        <w:tc>
          <w:tcPr>
            <w:tcW w:w="278" w:type="pct"/>
            <w:vAlign w:val="center"/>
          </w:tcPr>
          <w:p w14:paraId="3A9A965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594" w:type="pct"/>
          </w:tcPr>
          <w:p w14:paraId="73431C3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春季</w:t>
            </w:r>
            <w:r>
              <w:rPr>
                <w:rFonts w:hint="eastAsia" w:ascii="仿宋_GB2312" w:hAnsi="仿宋_GB2312" w:eastAsia="仿宋_GB2312" w:cs="仿宋_GB2312"/>
                <w:sz w:val="24"/>
                <w:szCs w:val="24"/>
              </w:rPr>
              <w:t>学期</w:t>
            </w:r>
          </w:p>
        </w:tc>
        <w:tc>
          <w:tcPr>
            <w:tcW w:w="308" w:type="pct"/>
          </w:tcPr>
          <w:p w14:paraId="2E60CD56">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704" w:type="pct"/>
            <w:vAlign w:val="center"/>
          </w:tcPr>
          <w:p w14:paraId="53D49F2B">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中药学</w:t>
            </w:r>
          </w:p>
          <w:p w14:paraId="346FF0FF">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方剂学</w:t>
            </w:r>
          </w:p>
        </w:tc>
        <w:tc>
          <w:tcPr>
            <w:tcW w:w="498" w:type="pct"/>
            <w:vAlign w:val="center"/>
          </w:tcPr>
          <w:p w14:paraId="0F9B8809">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郭东艳/程江雪</w:t>
            </w:r>
          </w:p>
        </w:tc>
        <w:tc>
          <w:tcPr>
            <w:tcW w:w="629" w:type="pct"/>
            <w:vAlign w:val="center"/>
          </w:tcPr>
          <w:p w14:paraId="5549FC69">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药学院</w:t>
            </w:r>
          </w:p>
        </w:tc>
      </w:tr>
      <w:tr w14:paraId="3F9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601" w:type="pct"/>
            <w:vAlign w:val="center"/>
          </w:tcPr>
          <w:p w14:paraId="153A628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color w:val="auto"/>
                <w:sz w:val="24"/>
                <w:szCs w:val="24"/>
              </w:rPr>
              <w:t>中成药学</w:t>
            </w:r>
          </w:p>
        </w:tc>
        <w:tc>
          <w:tcPr>
            <w:tcW w:w="264" w:type="pct"/>
            <w:vAlign w:val="center"/>
          </w:tcPr>
          <w:p w14:paraId="60FD74C0">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w:t>
            </w:r>
          </w:p>
        </w:tc>
        <w:tc>
          <w:tcPr>
            <w:tcW w:w="249" w:type="pct"/>
            <w:vAlign w:val="center"/>
          </w:tcPr>
          <w:p w14:paraId="2E636248">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278" w:type="pct"/>
            <w:vAlign w:val="center"/>
          </w:tcPr>
          <w:p w14:paraId="2769A625">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319" w:type="pct"/>
            <w:vAlign w:val="center"/>
          </w:tcPr>
          <w:p w14:paraId="1D708349">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273" w:type="pct"/>
            <w:vAlign w:val="center"/>
          </w:tcPr>
          <w:p w14:paraId="4C286E7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p>
        </w:tc>
        <w:tc>
          <w:tcPr>
            <w:tcW w:w="278" w:type="pct"/>
            <w:vAlign w:val="center"/>
          </w:tcPr>
          <w:p w14:paraId="7A01B7D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594" w:type="pct"/>
          </w:tcPr>
          <w:p w14:paraId="20FAEC8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春季</w:t>
            </w:r>
            <w:r>
              <w:rPr>
                <w:rFonts w:hint="eastAsia" w:ascii="仿宋_GB2312" w:hAnsi="仿宋_GB2312" w:eastAsia="仿宋_GB2312" w:cs="仿宋_GB2312"/>
                <w:sz w:val="24"/>
                <w:szCs w:val="24"/>
              </w:rPr>
              <w:t>学期</w:t>
            </w:r>
          </w:p>
        </w:tc>
        <w:tc>
          <w:tcPr>
            <w:tcW w:w="308" w:type="pct"/>
          </w:tcPr>
          <w:p w14:paraId="4AF07EA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704" w:type="pct"/>
            <w:vAlign w:val="center"/>
          </w:tcPr>
          <w:p w14:paraId="7AC007EE">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中医学基础</w:t>
            </w:r>
          </w:p>
          <w:p w14:paraId="6667F497">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中药学</w:t>
            </w:r>
          </w:p>
          <w:p w14:paraId="4C7E8BF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方剂学</w:t>
            </w:r>
          </w:p>
        </w:tc>
        <w:tc>
          <w:tcPr>
            <w:tcW w:w="498" w:type="pct"/>
            <w:vAlign w:val="center"/>
          </w:tcPr>
          <w:p w14:paraId="04FCD9C9">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李敏/韦焕丽</w:t>
            </w:r>
          </w:p>
        </w:tc>
        <w:tc>
          <w:tcPr>
            <w:tcW w:w="629" w:type="pct"/>
            <w:vAlign w:val="center"/>
          </w:tcPr>
          <w:p w14:paraId="52495964">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药学院、第二附属医院</w:t>
            </w:r>
          </w:p>
        </w:tc>
      </w:tr>
      <w:tr w14:paraId="3F8C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601" w:type="pct"/>
            <w:vAlign w:val="center"/>
          </w:tcPr>
          <w:p w14:paraId="00A777E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中药药理学</w:t>
            </w:r>
          </w:p>
        </w:tc>
        <w:tc>
          <w:tcPr>
            <w:tcW w:w="264" w:type="pct"/>
            <w:vAlign w:val="center"/>
          </w:tcPr>
          <w:p w14:paraId="5716A62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w:t>
            </w:r>
          </w:p>
        </w:tc>
        <w:tc>
          <w:tcPr>
            <w:tcW w:w="249" w:type="pct"/>
            <w:vAlign w:val="center"/>
          </w:tcPr>
          <w:p w14:paraId="0F7265B8">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278" w:type="pct"/>
            <w:vAlign w:val="center"/>
          </w:tcPr>
          <w:p w14:paraId="000AF51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28</w:t>
            </w:r>
          </w:p>
        </w:tc>
        <w:tc>
          <w:tcPr>
            <w:tcW w:w="319" w:type="pct"/>
            <w:vAlign w:val="center"/>
          </w:tcPr>
          <w:p w14:paraId="1078F56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273" w:type="pct"/>
            <w:vAlign w:val="center"/>
          </w:tcPr>
          <w:p w14:paraId="7147860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4</w:t>
            </w:r>
          </w:p>
        </w:tc>
        <w:tc>
          <w:tcPr>
            <w:tcW w:w="278" w:type="pct"/>
            <w:vAlign w:val="center"/>
          </w:tcPr>
          <w:p w14:paraId="1D429299">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594" w:type="pct"/>
          </w:tcPr>
          <w:p w14:paraId="087F0327">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2025年秋季学期</w:t>
            </w:r>
          </w:p>
        </w:tc>
        <w:tc>
          <w:tcPr>
            <w:tcW w:w="308" w:type="pct"/>
          </w:tcPr>
          <w:p w14:paraId="6DF23654">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704" w:type="pct"/>
            <w:vAlign w:val="center"/>
          </w:tcPr>
          <w:p w14:paraId="598D79D7">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中药学</w:t>
            </w:r>
          </w:p>
          <w:p w14:paraId="1EAC9946">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方剂学</w:t>
            </w:r>
          </w:p>
          <w:p w14:paraId="1F7C1C7D">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生物化学</w:t>
            </w:r>
          </w:p>
          <w:p w14:paraId="08BABE54">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生理学</w:t>
            </w:r>
          </w:p>
        </w:tc>
        <w:tc>
          <w:tcPr>
            <w:tcW w:w="498" w:type="pct"/>
            <w:vAlign w:val="center"/>
          </w:tcPr>
          <w:p w14:paraId="25F941ED">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卫昊/刘继平</w:t>
            </w:r>
          </w:p>
        </w:tc>
        <w:tc>
          <w:tcPr>
            <w:tcW w:w="629" w:type="pct"/>
            <w:vAlign w:val="center"/>
          </w:tcPr>
          <w:p w14:paraId="23B6B652">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药学院</w:t>
            </w:r>
          </w:p>
        </w:tc>
      </w:tr>
      <w:tr w14:paraId="58A1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601" w:type="pct"/>
            <w:vAlign w:val="center"/>
          </w:tcPr>
          <w:p w14:paraId="13C8AF6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医院制剂开发</w:t>
            </w:r>
          </w:p>
        </w:tc>
        <w:tc>
          <w:tcPr>
            <w:tcW w:w="264" w:type="pct"/>
            <w:vAlign w:val="center"/>
          </w:tcPr>
          <w:p w14:paraId="4FC2FB33">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w:t>
            </w:r>
          </w:p>
        </w:tc>
        <w:tc>
          <w:tcPr>
            <w:tcW w:w="249" w:type="pct"/>
            <w:vAlign w:val="center"/>
          </w:tcPr>
          <w:p w14:paraId="04E46EDF">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32</w:t>
            </w:r>
          </w:p>
        </w:tc>
        <w:tc>
          <w:tcPr>
            <w:tcW w:w="278" w:type="pct"/>
            <w:vAlign w:val="center"/>
          </w:tcPr>
          <w:p w14:paraId="0B97DA5F">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FF"/>
                <w:spacing w:val="-14"/>
                <w:kern w:val="21"/>
                <w:sz w:val="24"/>
                <w:szCs w:val="24"/>
              </w:rPr>
            </w:pPr>
            <w:r>
              <w:rPr>
                <w:rFonts w:hint="eastAsia" w:ascii="仿宋_GB2312" w:hAnsi="仿宋_GB2312" w:eastAsia="仿宋_GB2312" w:cs="仿宋_GB2312"/>
                <w:sz w:val="24"/>
                <w:szCs w:val="24"/>
              </w:rPr>
              <w:t>28</w:t>
            </w:r>
          </w:p>
        </w:tc>
        <w:tc>
          <w:tcPr>
            <w:tcW w:w="319" w:type="pct"/>
            <w:vAlign w:val="center"/>
          </w:tcPr>
          <w:p w14:paraId="6F71406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p>
        </w:tc>
        <w:tc>
          <w:tcPr>
            <w:tcW w:w="273" w:type="pct"/>
            <w:vAlign w:val="center"/>
          </w:tcPr>
          <w:p w14:paraId="581A686A">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color w:val="000000" w:themeColor="text1"/>
                <w:spacing w:val="-14"/>
                <w:kern w:val="21"/>
                <w:sz w:val="24"/>
                <w:szCs w:val="24"/>
                <w14:textFill>
                  <w14:solidFill>
                    <w14:schemeClr w14:val="tx1"/>
                  </w14:solidFill>
                </w14:textFill>
              </w:rPr>
            </w:pPr>
            <w:r>
              <w:rPr>
                <w:rFonts w:hint="eastAsia" w:ascii="仿宋_GB2312" w:hAnsi="仿宋_GB2312" w:eastAsia="仿宋_GB2312" w:cs="仿宋_GB2312"/>
                <w:snapToGrid w:val="0"/>
                <w:color w:val="000000" w:themeColor="text1"/>
                <w:spacing w:val="-14"/>
                <w:kern w:val="21"/>
                <w:sz w:val="24"/>
                <w:szCs w:val="24"/>
                <w14:textFill>
                  <w14:solidFill>
                    <w14:schemeClr w14:val="tx1"/>
                  </w14:solidFill>
                </w14:textFill>
              </w:rPr>
              <w:t>4</w:t>
            </w:r>
          </w:p>
        </w:tc>
        <w:tc>
          <w:tcPr>
            <w:tcW w:w="278" w:type="pct"/>
            <w:vAlign w:val="center"/>
          </w:tcPr>
          <w:p w14:paraId="3643B14D">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94" w:type="pct"/>
          </w:tcPr>
          <w:p w14:paraId="21700BD5">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2025年秋季学期</w:t>
            </w:r>
          </w:p>
        </w:tc>
        <w:tc>
          <w:tcPr>
            <w:tcW w:w="308" w:type="pct"/>
          </w:tcPr>
          <w:p w14:paraId="71E4D75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考查</w:t>
            </w:r>
          </w:p>
        </w:tc>
        <w:tc>
          <w:tcPr>
            <w:tcW w:w="704" w:type="pct"/>
            <w:vAlign w:val="center"/>
          </w:tcPr>
          <w:p w14:paraId="5BBFF62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中医学基础</w:t>
            </w:r>
          </w:p>
          <w:p w14:paraId="7D0BCB44">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中药学</w:t>
            </w:r>
          </w:p>
          <w:p w14:paraId="5F3AC3D1">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方剂学</w:t>
            </w:r>
          </w:p>
        </w:tc>
        <w:tc>
          <w:tcPr>
            <w:tcW w:w="498" w:type="pct"/>
            <w:vAlign w:val="center"/>
          </w:tcPr>
          <w:p w14:paraId="473463CC">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邹俊波/韦焕丽</w:t>
            </w:r>
          </w:p>
        </w:tc>
        <w:tc>
          <w:tcPr>
            <w:tcW w:w="629" w:type="pct"/>
            <w:vAlign w:val="center"/>
          </w:tcPr>
          <w:p w14:paraId="1E58E22B">
            <w:pPr>
              <w:keepNext w:val="0"/>
              <w:keepLines w:val="0"/>
              <w:pageBreakBefore w:val="0"/>
              <w:wordWrap/>
              <w:topLinePunct w:val="0"/>
              <w:bidi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药学院、第二附属医院</w:t>
            </w:r>
          </w:p>
        </w:tc>
      </w:tr>
      <w:tr w14:paraId="08D4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601" w:type="pct"/>
            <w:vAlign w:val="center"/>
          </w:tcPr>
          <w:p w14:paraId="4E9CD88D">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总学分</w:t>
            </w:r>
          </w:p>
        </w:tc>
        <w:tc>
          <w:tcPr>
            <w:tcW w:w="4398" w:type="pct"/>
            <w:gridSpan w:val="11"/>
            <w:vAlign w:val="center"/>
          </w:tcPr>
          <w:p w14:paraId="1874AE44">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snapToGrid w:val="0"/>
                <w:spacing w:val="-14"/>
                <w:kern w:val="21"/>
                <w:sz w:val="24"/>
                <w:szCs w:val="24"/>
              </w:rPr>
            </w:pPr>
            <w:r>
              <w:rPr>
                <w:rFonts w:hint="eastAsia" w:ascii="仿宋_GB2312" w:hAnsi="仿宋_GB2312" w:eastAsia="仿宋_GB2312" w:cs="仿宋_GB2312"/>
                <w:snapToGrid w:val="0"/>
                <w:spacing w:val="-14"/>
                <w:kern w:val="21"/>
                <w:sz w:val="24"/>
                <w:szCs w:val="24"/>
              </w:rPr>
              <w:t>10</w:t>
            </w:r>
          </w:p>
        </w:tc>
      </w:tr>
    </w:tbl>
    <w:p w14:paraId="35904B09">
      <w:pPr>
        <w:keepNext w:val="0"/>
        <w:keepLines w:val="0"/>
        <w:pageBreakBefore w:val="0"/>
        <w:wordWrap/>
        <w:topLinePunct w:val="0"/>
        <w:bidi w:val="0"/>
        <w:spacing w:line="500" w:lineRule="exact"/>
        <w:textAlignment w:val="auto"/>
        <w:rPr>
          <w:rFonts w:ascii="仿宋" w:hAnsi="仿宋" w:eastAsia="仿宋" w:cs="仿宋"/>
          <w:color w:val="0000FF"/>
          <w:sz w:val="32"/>
          <w:szCs w:val="32"/>
        </w:rPr>
      </w:pPr>
      <w:r>
        <w:rPr>
          <w:rFonts w:hint="eastAsia" w:ascii="黑体" w:hAnsi="黑体" w:eastAsia="黑体" w:cs="黑体"/>
          <w:sz w:val="32"/>
          <w:szCs w:val="32"/>
        </w:rPr>
        <w:t>五、咨询方式</w:t>
      </w:r>
    </w:p>
    <w:p w14:paraId="230068AE">
      <w:pPr>
        <w:keepNext w:val="0"/>
        <w:keepLines w:val="0"/>
        <w:pageBreakBefore w:val="0"/>
        <w:wordWrap/>
        <w:topLinePunct w:val="0"/>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1.企业微信群</w:t>
      </w:r>
      <w:r>
        <w:rPr>
          <w:rFonts w:hint="eastAsia" w:ascii="仿宋" w:hAnsi="仿宋" w:eastAsia="仿宋" w:cs="仿宋"/>
          <w:sz w:val="32"/>
          <w:szCs w:val="32"/>
          <w:lang w:val="en-US" w:eastAsia="zh-CN"/>
        </w:rPr>
        <w:t xml:space="preserve"> </w:t>
      </w:r>
    </w:p>
    <w:p w14:paraId="491B78CD">
      <w:pPr>
        <w:keepNext w:val="0"/>
        <w:keepLines w:val="0"/>
        <w:pageBreakBefore w:val="0"/>
        <w:wordWrap/>
        <w:topLinePunct w:val="0"/>
        <w:bidi w:val="0"/>
        <w:spacing w:line="500" w:lineRule="exact"/>
        <w:ind w:firstLine="480" w:firstLineChars="200"/>
        <w:textAlignment w:val="auto"/>
        <w:rPr>
          <w:rFonts w:ascii="仿宋" w:hAnsi="仿宋" w:eastAsia="仿宋" w:cs="仿宋"/>
          <w:sz w:val="32"/>
          <w:szCs w:val="32"/>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852170</wp:posOffset>
            </wp:positionH>
            <wp:positionV relativeFrom="paragraph">
              <wp:posOffset>57150</wp:posOffset>
            </wp:positionV>
            <wp:extent cx="1266825" cy="1330325"/>
            <wp:effectExtent l="0" t="0" r="9525" b="3175"/>
            <wp:wrapTopAndBottom/>
            <wp:docPr id="2" name="图片 1" descr="IMG_256"/>
            <wp:cNvGraphicFramePr/>
            <a:graphic xmlns:a="http://schemas.openxmlformats.org/drawingml/2006/main">
              <a:graphicData uri="http://schemas.openxmlformats.org/drawingml/2006/picture">
                <pic:pic xmlns:pic="http://schemas.openxmlformats.org/drawingml/2006/picture">
                  <pic:nvPicPr>
                    <pic:cNvPr id="2" name="图片 1" descr="IMG_256"/>
                    <pic:cNvPicPr/>
                  </pic:nvPicPr>
                  <pic:blipFill>
                    <a:blip r:embed="rId5"/>
                    <a:srcRect l="21024" t="34335" r="21190" b="38645"/>
                    <a:stretch>
                      <a:fillRect/>
                    </a:stretch>
                  </pic:blipFill>
                  <pic:spPr>
                    <a:xfrm>
                      <a:off x="0" y="0"/>
                      <a:ext cx="1266825" cy="1330325"/>
                    </a:xfrm>
                    <a:prstGeom prst="rect">
                      <a:avLst/>
                    </a:prstGeom>
                    <a:noFill/>
                    <a:ln w="9525">
                      <a:noFill/>
                    </a:ln>
                  </pic:spPr>
                </pic:pic>
              </a:graphicData>
            </a:graphic>
          </wp:anchor>
        </w:drawing>
      </w:r>
      <w:r>
        <w:rPr>
          <w:rFonts w:hint="eastAsia" w:ascii="仿宋" w:hAnsi="仿宋" w:eastAsia="仿宋" w:cs="仿宋"/>
          <w:sz w:val="32"/>
          <w:szCs w:val="32"/>
        </w:rPr>
        <w:t>2.联系人：张赛   联系电话：0</w:t>
      </w:r>
      <w:r>
        <w:rPr>
          <w:rFonts w:ascii="仿宋" w:hAnsi="仿宋" w:eastAsia="仿宋" w:cs="仿宋"/>
          <w:sz w:val="32"/>
          <w:szCs w:val="32"/>
        </w:rPr>
        <w:t>29-</w:t>
      </w:r>
      <w:r>
        <w:rPr>
          <w:rFonts w:hint="eastAsia" w:ascii="仿宋" w:hAnsi="仿宋" w:eastAsia="仿宋" w:cs="仿宋"/>
          <w:sz w:val="32"/>
          <w:szCs w:val="32"/>
        </w:rPr>
        <w:t>38185165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E60A">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6E893">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E6E893">
                    <w:pPr>
                      <w:pStyle w:val="2"/>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CD"/>
    <w:rsid w:val="00196B73"/>
    <w:rsid w:val="002255FE"/>
    <w:rsid w:val="0028722F"/>
    <w:rsid w:val="0035137C"/>
    <w:rsid w:val="0038206D"/>
    <w:rsid w:val="00406EE5"/>
    <w:rsid w:val="004D2501"/>
    <w:rsid w:val="00522132"/>
    <w:rsid w:val="00544654"/>
    <w:rsid w:val="005A282C"/>
    <w:rsid w:val="00726253"/>
    <w:rsid w:val="007554A7"/>
    <w:rsid w:val="00940EFE"/>
    <w:rsid w:val="009D626B"/>
    <w:rsid w:val="00B03F16"/>
    <w:rsid w:val="00B336E7"/>
    <w:rsid w:val="00B91A73"/>
    <w:rsid w:val="00C472C9"/>
    <w:rsid w:val="00C57AC3"/>
    <w:rsid w:val="00DE07C0"/>
    <w:rsid w:val="00E36D9D"/>
    <w:rsid w:val="00EA7012"/>
    <w:rsid w:val="00EF5BCD"/>
    <w:rsid w:val="00FA0E7D"/>
    <w:rsid w:val="031E1229"/>
    <w:rsid w:val="0A4E53BA"/>
    <w:rsid w:val="0AD26DF1"/>
    <w:rsid w:val="0B930B35"/>
    <w:rsid w:val="0C575DE9"/>
    <w:rsid w:val="0CFE440E"/>
    <w:rsid w:val="156F18A7"/>
    <w:rsid w:val="159D0129"/>
    <w:rsid w:val="177E77B0"/>
    <w:rsid w:val="18201CBD"/>
    <w:rsid w:val="1C4A27F6"/>
    <w:rsid w:val="1D0D7B40"/>
    <w:rsid w:val="220C13D6"/>
    <w:rsid w:val="228B233C"/>
    <w:rsid w:val="22D05240"/>
    <w:rsid w:val="239C5C07"/>
    <w:rsid w:val="290D27BA"/>
    <w:rsid w:val="29332C51"/>
    <w:rsid w:val="2C6317F4"/>
    <w:rsid w:val="2E020CD6"/>
    <w:rsid w:val="2F7D458D"/>
    <w:rsid w:val="327A39AE"/>
    <w:rsid w:val="3A947B69"/>
    <w:rsid w:val="3B0815E4"/>
    <w:rsid w:val="3B0B2045"/>
    <w:rsid w:val="3B27295C"/>
    <w:rsid w:val="3B980E56"/>
    <w:rsid w:val="3C1A7C15"/>
    <w:rsid w:val="3EDB5F03"/>
    <w:rsid w:val="47243E34"/>
    <w:rsid w:val="4E137ACC"/>
    <w:rsid w:val="4FB2334F"/>
    <w:rsid w:val="52CD5231"/>
    <w:rsid w:val="53954F7A"/>
    <w:rsid w:val="5DF60819"/>
    <w:rsid w:val="615728C1"/>
    <w:rsid w:val="679A7B08"/>
    <w:rsid w:val="6A344B01"/>
    <w:rsid w:val="6C442A2F"/>
    <w:rsid w:val="6D406540"/>
    <w:rsid w:val="6E22598D"/>
    <w:rsid w:val="725F06C6"/>
    <w:rsid w:val="73DC4D25"/>
    <w:rsid w:val="790D3D08"/>
    <w:rsid w:val="7BA6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852</Words>
  <Characters>895</Characters>
  <Lines>7</Lines>
  <Paragraphs>1</Paragraphs>
  <TotalTime>1</TotalTime>
  <ScaleCrop>false</ScaleCrop>
  <LinksUpToDate>false</LinksUpToDate>
  <CharactersWithSpaces>899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2024-10-28T04:12:00Z</dcterms:created>
  <dc:creator>储</dc:creator>
  <cp:lastModifiedBy>YUuuu_</cp:lastModifiedBy>
  <cp:lastPrinted>2025-05-06T08:15:00Z</cp:lastPrinted>
  <dcterms:modified xsi:type="dcterms:W3CDTF">2025-05-22T01:14:23Z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D38019C32D7D49B992B83A58D9868AA0_13</vt:lpwstr>
  </property>
  <property fmtid="{D5CDD505-2E9C-101B-9397-08002B2CF9AE}" pid="4" name="KSOTemplateDocerSaveRecord">
    <vt:lpwstr>eyJoZGlkIjoiYmU5YjczYWNhMmJhZGE2YzE2NjhiMjYwOTI0ZDgyZDIiLCJ1c2VySWQiOiI0MjE4ODc2ODQifQ==</vt:lpwstr>
  </property>
</Properties>
</file>