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  <w:t>附件1</w:t>
      </w:r>
      <w:r>
        <w:rPr>
          <w:rFonts w:hint="eastAsia"/>
        </w:rPr>
        <w:t xml:space="preserve">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highlight w:val="none"/>
          <w:lang w:val="en-US" w:eastAsia="zh-CN"/>
        </w:rPr>
        <w:t>陕西中医药大学</w:t>
      </w:r>
      <w:r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highlight w:val="none"/>
          <w:lang w:val="en-US" w:eastAsia="zh-CN"/>
        </w:rPr>
        <w:t>2024年申报校级知识图谱的国家级、省级课程一览表</w:t>
      </w:r>
    </w:p>
    <w:tbl>
      <w:tblPr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208"/>
        <w:gridCol w:w="1842"/>
        <w:gridCol w:w="3048"/>
        <w:gridCol w:w="1653"/>
        <w:gridCol w:w="2844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认定时间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批准文号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中医食疗学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辛宝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线上一流课程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2020年11月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教高函〔2020〕8号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内经选读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乔文彪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线上线下混合一流课程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2020年11月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教高函〔2020〕8号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韩曼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2020年11月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教高函〔2020〕8号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中药药理学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卫昊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教高函〔2023〕7号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中药药剂学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郭东艳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2020年3月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陕教高办〔2020〕2号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康复评定学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陆健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2020年3月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陕教高办〔2020〕2号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药用植物学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沈霞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线上线下混合一流课程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中药制剂分析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王小平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线上线下混合一流课程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组织学与胚胎学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病理生理学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局部解剖学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方艳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伤寒论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李小会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中药炮制学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宋艺君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中药鉴定学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杨冰月</w:t>
            </w:r>
          </w:p>
        </w:tc>
        <w:tc>
          <w:tcPr>
            <w:tcW w:w="3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陕教 (2021〕 107号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已认定的国家级、省级社会实践一流课程、虚拟仿真实验教学一流课程不在申报课程知识图谱的范围之内。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3DD1C9-EC01-4138-8DBE-0802BC4C2D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AA15E68-9953-4F8A-8147-93EFF3EB6C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000000"/>
    <w:rsid w:val="7F1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2024-06-26T08:49:47Z</dcterms:created>
  <dc:creator>lenovo</dc:creator>
  <cp:lastModifiedBy>紫苏</cp:lastModifiedBy>
  <dcterms:modified xsi:type="dcterms:W3CDTF">2024-06-26T08:54:56Z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37A26460FB6846048FA3D167DC352953_12</vt:lpwstr>
  </property>
</Properties>
</file>