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7949" w:rsidRPr="00062E26" w:rsidRDefault="00062E26">
      <w:pPr>
        <w:rPr>
          <w:rFonts w:ascii="方正小标宋简体" w:eastAsia="方正小标宋简体"/>
          <w:sz w:val="44"/>
          <w:szCs w:val="44"/>
          <w:lang w:val="en-US"/>
        </w:rPr>
      </w:pPr>
      <w:r w:rsidRPr="00062E26">
        <w:rPr>
          <w:rFonts w:ascii="黑体" w:eastAsia="黑体" w:hAnsi="黑体" w:hint="eastAsia"/>
          <w:sz w:val="32"/>
          <w:szCs w:val="32"/>
          <w:lang w:val="en-US" w:bidi="ar-SA"/>
        </w:rPr>
        <w:t>附件</w:t>
      </w:r>
      <w:r w:rsidRPr="00062E26">
        <w:rPr>
          <w:rFonts w:ascii="黑体" w:eastAsia="黑体" w:hAnsi="黑体" w:hint="eastAsia"/>
          <w:sz w:val="32"/>
          <w:szCs w:val="32"/>
          <w:lang w:val="en-US" w:bidi="ar-SA"/>
        </w:rPr>
        <w:t>2</w:t>
      </w:r>
      <w:r>
        <w:rPr>
          <w:rFonts w:ascii="仿宋" w:eastAsia="仿宋" w:hAnsi="仿宋" w:hint="eastAsia"/>
          <w:sz w:val="28"/>
          <w:szCs w:val="20"/>
          <w:lang w:val="en-US" w:bidi="ar-SA"/>
        </w:rPr>
        <w:t xml:space="preserve">        </w:t>
      </w:r>
      <w:r>
        <w:rPr>
          <w:rFonts w:ascii="仿宋" w:eastAsia="仿宋" w:hAnsi="仿宋" w:hint="eastAsia"/>
          <w:sz w:val="44"/>
          <w:szCs w:val="44"/>
          <w:lang w:val="en-US" w:bidi="ar-SA"/>
        </w:rPr>
        <w:t xml:space="preserve">  </w:t>
      </w:r>
      <w:r w:rsidRPr="00062E26">
        <w:rPr>
          <w:rFonts w:ascii="仿宋" w:eastAsia="仿宋" w:hAnsi="仿宋" w:hint="eastAsia"/>
          <w:sz w:val="44"/>
          <w:szCs w:val="44"/>
          <w:lang w:val="en-US" w:bidi="ar-SA"/>
        </w:rPr>
        <w:t xml:space="preserve">  </w:t>
      </w:r>
      <w:r w:rsidRPr="00062E26">
        <w:rPr>
          <w:rFonts w:ascii="方正小标宋简体" w:eastAsia="方正小标宋简体" w:hint="eastAsia"/>
          <w:sz w:val="44"/>
          <w:szCs w:val="44"/>
          <w:lang w:val="en-US"/>
        </w:rPr>
        <w:t>（</w:t>
      </w:r>
      <w:r w:rsidRPr="00062E26">
        <w:rPr>
          <w:rFonts w:ascii="方正小标宋简体" w:eastAsia="方正小标宋简体" w:hint="eastAsia"/>
          <w:sz w:val="44"/>
          <w:szCs w:val="44"/>
          <w:lang w:val="en-US"/>
        </w:rPr>
        <w:t>***</w:t>
      </w:r>
      <w:r w:rsidRPr="00062E26">
        <w:rPr>
          <w:rFonts w:ascii="方正小标宋简体" w:eastAsia="方正小标宋简体" w:hint="eastAsia"/>
          <w:sz w:val="44"/>
          <w:szCs w:val="44"/>
          <w:lang w:val="en-US"/>
        </w:rPr>
        <w:t>）</w:t>
      </w:r>
      <w:bookmarkStart w:id="0" w:name="_GoBack"/>
      <w:bookmarkEnd w:id="0"/>
      <w:proofErr w:type="gramStart"/>
      <w:r w:rsidRPr="00062E26">
        <w:rPr>
          <w:rFonts w:ascii="方正小标宋简体" w:eastAsia="方正小标宋简体" w:hint="eastAsia"/>
          <w:sz w:val="44"/>
          <w:szCs w:val="44"/>
          <w:lang w:val="en-US"/>
        </w:rPr>
        <w:t>课程思政</w:t>
      </w:r>
      <w:proofErr w:type="gramEnd"/>
      <w:r w:rsidRPr="00062E26">
        <w:rPr>
          <w:rFonts w:ascii="方正小标宋简体" w:eastAsia="方正小标宋简体" w:hint="eastAsia"/>
          <w:sz w:val="44"/>
          <w:szCs w:val="44"/>
          <w:lang w:val="en-US"/>
        </w:rPr>
        <w:t>/</w:t>
      </w:r>
      <w:r w:rsidRPr="00062E26">
        <w:rPr>
          <w:rFonts w:ascii="方正小标宋简体" w:eastAsia="方正小标宋简体" w:hint="eastAsia"/>
          <w:sz w:val="44"/>
          <w:szCs w:val="44"/>
          <w:lang w:val="en-US"/>
        </w:rPr>
        <w:t>课程美育</w:t>
      </w:r>
      <w:r w:rsidRPr="00062E26">
        <w:rPr>
          <w:rFonts w:ascii="方正小标宋简体" w:eastAsia="方正小标宋简体" w:hint="eastAsia"/>
          <w:sz w:val="44"/>
          <w:szCs w:val="44"/>
          <w:lang w:val="en-US"/>
        </w:rPr>
        <w:t>教学设计纲要（模板）</w:t>
      </w:r>
    </w:p>
    <w:tbl>
      <w:tblPr>
        <w:tblW w:w="14039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764"/>
        <w:gridCol w:w="975"/>
        <w:gridCol w:w="1830"/>
        <w:gridCol w:w="2034"/>
        <w:gridCol w:w="1350"/>
        <w:gridCol w:w="7086"/>
      </w:tblGrid>
      <w:tr w:rsidR="00E87949">
        <w:trPr>
          <w:trHeight w:val="772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B9CBE7"/>
            <w:vAlign w:val="center"/>
          </w:tcPr>
          <w:p w:rsidR="00E87949" w:rsidRDefault="00062E2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序号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B9CBE7"/>
            <w:vAlign w:val="center"/>
          </w:tcPr>
          <w:p w:rsidR="00E87949" w:rsidRDefault="00062E2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章节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B8CAE7"/>
            <w:vAlign w:val="center"/>
          </w:tcPr>
          <w:p w:rsidR="00E87949" w:rsidRDefault="00062E2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专业知识点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B9CBE7"/>
            <w:vAlign w:val="center"/>
          </w:tcPr>
          <w:p w:rsidR="00E87949" w:rsidRDefault="00062E26">
            <w:pPr>
              <w:widowControl/>
              <w:jc w:val="center"/>
              <w:textAlignment w:val="center"/>
              <w:rPr>
                <w:sz w:val="18"/>
                <w:szCs w:val="18"/>
                <w:lang w:val="en-US"/>
              </w:rPr>
            </w:pPr>
            <w:proofErr w:type="gramStart"/>
            <w:r>
              <w:rPr>
                <w:rFonts w:hint="eastAsia"/>
                <w:sz w:val="18"/>
                <w:szCs w:val="18"/>
                <w:lang w:val="en-US"/>
              </w:rPr>
              <w:t>思政元素</w:t>
            </w:r>
            <w:proofErr w:type="gramEnd"/>
            <w:r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>或</w:t>
            </w:r>
            <w:r>
              <w:rPr>
                <w:rFonts w:hint="eastAsia"/>
                <w:sz w:val="18"/>
                <w:szCs w:val="18"/>
                <w:lang w:val="en-US"/>
              </w:rPr>
              <w:t xml:space="preserve"> </w:t>
            </w:r>
            <w:r>
              <w:rPr>
                <w:rFonts w:hint="eastAsia"/>
                <w:sz w:val="18"/>
                <w:szCs w:val="18"/>
                <w:lang w:val="en-US"/>
              </w:rPr>
              <w:t>美育元素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B8CAE7"/>
            <w:vAlign w:val="center"/>
          </w:tcPr>
          <w:p w:rsidR="00E87949" w:rsidRDefault="00062E2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教学方法</w:t>
            </w:r>
          </w:p>
        </w:tc>
        <w:tc>
          <w:tcPr>
            <w:tcW w:w="7086" w:type="dxa"/>
            <w:tcBorders>
              <w:tl2br w:val="nil"/>
              <w:tr2bl w:val="nil"/>
            </w:tcBorders>
            <w:shd w:val="clear" w:color="auto" w:fill="B9CBE8"/>
            <w:vAlign w:val="center"/>
          </w:tcPr>
          <w:p w:rsidR="00E87949" w:rsidRDefault="00062E26">
            <w:pPr>
              <w:widowControl/>
              <w:jc w:val="center"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  <w:lang w:val="en-US"/>
              </w:rPr>
              <w:t>教学案例</w:t>
            </w:r>
          </w:p>
        </w:tc>
      </w:tr>
      <w:tr w:rsidR="00E87949">
        <w:trPr>
          <w:trHeight w:val="90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062E26">
            <w:pPr>
              <w:jc w:val="center"/>
              <w:rPr>
                <w:rFonts w:ascii="Arial" w:hAnsi="Arial" w:cs="Arial"/>
                <w:sz w:val="21"/>
                <w:szCs w:val="21"/>
                <w:lang w:val="en-US"/>
              </w:rPr>
            </w:pPr>
            <w:r>
              <w:rPr>
                <w:rFonts w:hint="eastAsia"/>
                <w:sz w:val="19"/>
                <w:szCs w:val="19"/>
                <w:lang w:val="en-US"/>
              </w:rPr>
              <w:t>举例：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062E26">
            <w:pPr>
              <w:widowControl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  <w:b/>
                <w:bCs/>
                <w:sz w:val="19"/>
                <w:szCs w:val="19"/>
                <w:lang w:val="en-US"/>
              </w:rPr>
              <w:t>发热</w:t>
            </w: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062E26">
            <w:pPr>
              <w:widowControl/>
              <w:textAlignment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/>
              </w:rPr>
              <w:t>1.</w:t>
            </w:r>
            <w:r>
              <w:rPr>
                <w:rFonts w:hint="eastAsia"/>
                <w:sz w:val="19"/>
                <w:szCs w:val="19"/>
                <w:lang w:val="en-US"/>
              </w:rPr>
              <w:t>发热的病因</w:t>
            </w:r>
            <w:r>
              <w:rPr>
                <w:rStyle w:val="font11"/>
                <w:rFonts w:hint="default"/>
                <w:color w:val="auto"/>
                <w:lang w:val="en-US"/>
              </w:rPr>
              <w:t>及发病机制</w:t>
            </w:r>
          </w:p>
          <w:p w:rsidR="00E87949" w:rsidRDefault="00062E26">
            <w:pPr>
              <w:widowControl/>
              <w:textAlignment w:val="center"/>
              <w:rPr>
                <w:rStyle w:val="font11"/>
                <w:rFonts w:hint="default"/>
                <w:color w:val="auto"/>
                <w:lang w:val="en-US"/>
              </w:rPr>
            </w:pPr>
            <w:r>
              <w:rPr>
                <w:rFonts w:hint="eastAsia"/>
                <w:sz w:val="19"/>
                <w:szCs w:val="19"/>
                <w:lang w:val="en-US"/>
              </w:rPr>
              <w:t>2.</w:t>
            </w:r>
            <w:r>
              <w:rPr>
                <w:rFonts w:hint="eastAsia"/>
                <w:sz w:val="19"/>
                <w:szCs w:val="19"/>
                <w:lang w:val="en-US"/>
              </w:rPr>
              <w:t>发热时代谢</w:t>
            </w:r>
            <w:r>
              <w:rPr>
                <w:rStyle w:val="font11"/>
                <w:rFonts w:hint="default"/>
                <w:color w:val="auto"/>
                <w:lang w:val="en-US"/>
              </w:rPr>
              <w:t>与功能的改变</w:t>
            </w:r>
            <w:r>
              <w:rPr>
                <w:rStyle w:val="font11"/>
                <w:rFonts w:hint="default"/>
                <w:color w:val="auto"/>
                <w:lang w:val="en-US"/>
              </w:rPr>
              <w:t xml:space="preserve"> </w:t>
            </w:r>
          </w:p>
          <w:p w:rsidR="00E87949" w:rsidRDefault="00062E26">
            <w:pPr>
              <w:widowControl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11"/>
                <w:rFonts w:hint="default"/>
                <w:color w:val="auto"/>
                <w:lang w:val="en-US"/>
              </w:rPr>
              <w:t>3.</w:t>
            </w:r>
            <w:r>
              <w:rPr>
                <w:rStyle w:val="font11"/>
                <w:rFonts w:hint="default"/>
                <w:color w:val="auto"/>
                <w:lang w:val="en-US"/>
              </w:rPr>
              <w:t>发热的防治原则及治疗措施</w:t>
            </w: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062E26">
            <w:pPr>
              <w:widowControl/>
              <w:jc w:val="both"/>
              <w:textAlignment w:val="center"/>
              <w:rPr>
                <w:sz w:val="19"/>
                <w:szCs w:val="19"/>
                <w:lang w:val="en-US"/>
              </w:rPr>
            </w:pPr>
            <w:r>
              <w:rPr>
                <w:rFonts w:hint="eastAsia"/>
                <w:sz w:val="19"/>
                <w:szCs w:val="19"/>
                <w:lang w:val="en-US"/>
              </w:rPr>
              <w:t>1.</w:t>
            </w:r>
            <w:r>
              <w:rPr>
                <w:rFonts w:hint="eastAsia"/>
                <w:sz w:val="19"/>
                <w:szCs w:val="19"/>
                <w:lang w:val="en-US"/>
              </w:rPr>
              <w:t>民族自豪感</w:t>
            </w:r>
            <w:r>
              <w:rPr>
                <w:rFonts w:hint="eastAsia"/>
                <w:sz w:val="19"/>
                <w:szCs w:val="19"/>
                <w:lang w:val="en-US"/>
              </w:rPr>
              <w:t xml:space="preserve"> </w:t>
            </w:r>
          </w:p>
          <w:p w:rsidR="00E87949" w:rsidRDefault="00062E26">
            <w:pPr>
              <w:widowControl/>
              <w:jc w:val="both"/>
              <w:textAlignment w:val="center"/>
              <w:rPr>
                <w:sz w:val="19"/>
                <w:szCs w:val="19"/>
              </w:rPr>
            </w:pPr>
            <w:r>
              <w:rPr>
                <w:rStyle w:val="font11"/>
                <w:rFonts w:hint="default"/>
                <w:color w:val="auto"/>
                <w:lang w:val="en-US"/>
              </w:rPr>
              <w:t>2.</w:t>
            </w:r>
            <w:r>
              <w:rPr>
                <w:rStyle w:val="font11"/>
                <w:rFonts w:hint="default"/>
                <w:color w:val="auto"/>
                <w:lang w:val="en-US"/>
              </w:rPr>
              <w:t>潜心研究的科研精神</w:t>
            </w:r>
          </w:p>
          <w:p w:rsidR="00E87949" w:rsidRDefault="00062E26">
            <w:pPr>
              <w:widowControl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hint="eastAsia"/>
                <w:sz w:val="19"/>
                <w:szCs w:val="19"/>
                <w:lang w:val="en-US"/>
              </w:rPr>
              <w:t>3.</w:t>
            </w:r>
            <w:r>
              <w:rPr>
                <w:rFonts w:hint="eastAsia"/>
                <w:sz w:val="19"/>
                <w:szCs w:val="19"/>
                <w:lang w:val="en-US"/>
              </w:rPr>
              <w:t>甘于奉献的</w:t>
            </w:r>
            <w:r>
              <w:rPr>
                <w:rStyle w:val="font11"/>
                <w:rFonts w:hint="default"/>
                <w:color w:val="auto"/>
                <w:lang w:val="en-US"/>
              </w:rPr>
              <w:t>科学精神</w:t>
            </w: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062E26">
            <w:pPr>
              <w:widowControl/>
              <w:jc w:val="both"/>
              <w:textAlignment w:val="center"/>
              <w:rPr>
                <w:sz w:val="19"/>
                <w:szCs w:val="19"/>
                <w:lang w:val="en-US"/>
              </w:rPr>
            </w:pPr>
            <w:r>
              <w:rPr>
                <w:rFonts w:hint="eastAsia"/>
                <w:sz w:val="19"/>
                <w:szCs w:val="19"/>
                <w:lang w:val="en-US"/>
              </w:rPr>
              <w:t>病例讨论</w:t>
            </w:r>
          </w:p>
          <w:p w:rsidR="00E87949" w:rsidRDefault="00062E26">
            <w:pPr>
              <w:widowControl/>
              <w:jc w:val="both"/>
              <w:textAlignment w:val="center"/>
              <w:rPr>
                <w:rStyle w:val="font11"/>
                <w:rFonts w:hint="default"/>
                <w:color w:val="auto"/>
                <w:lang w:val="en-US"/>
              </w:rPr>
            </w:pPr>
            <w:proofErr w:type="gramStart"/>
            <w:r>
              <w:rPr>
                <w:rStyle w:val="font11"/>
                <w:rFonts w:hint="default"/>
                <w:color w:val="auto"/>
                <w:lang w:val="en-US"/>
              </w:rPr>
              <w:t>微课视频</w:t>
            </w:r>
            <w:proofErr w:type="gramEnd"/>
          </w:p>
          <w:p w:rsidR="00E87949" w:rsidRDefault="00062E26">
            <w:pPr>
              <w:widowControl/>
              <w:jc w:val="both"/>
              <w:textAlignment w:val="center"/>
              <w:rPr>
                <w:rFonts w:ascii="Arial" w:hAnsi="Arial" w:cs="Arial"/>
                <w:sz w:val="21"/>
                <w:szCs w:val="21"/>
              </w:rPr>
            </w:pPr>
            <w:r>
              <w:rPr>
                <w:rStyle w:val="font11"/>
                <w:rFonts w:hint="default"/>
                <w:color w:val="auto"/>
                <w:lang w:val="en-US"/>
              </w:rPr>
              <w:t>案例引导</w:t>
            </w:r>
          </w:p>
        </w:tc>
        <w:tc>
          <w:tcPr>
            <w:tcW w:w="7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062E26">
            <w:pPr>
              <w:widowControl/>
              <w:numPr>
                <w:ilvl w:val="0"/>
                <w:numId w:val="1"/>
              </w:numPr>
              <w:textAlignment w:val="center"/>
              <w:rPr>
                <w:rStyle w:val="font31"/>
                <w:rFonts w:hint="default"/>
                <w:color w:val="auto"/>
                <w:lang w:val="en-US"/>
              </w:rPr>
            </w:pPr>
            <w:r>
              <w:rPr>
                <w:rStyle w:val="font31"/>
                <w:rFonts w:hint="default"/>
                <w:color w:val="auto"/>
                <w:lang w:val="en-US"/>
              </w:rPr>
              <w:t>以发热激活物中的</w:t>
            </w:r>
            <w:proofErr w:type="gramStart"/>
            <w:r>
              <w:rPr>
                <w:rStyle w:val="font31"/>
                <w:rFonts w:hint="default"/>
                <w:color w:val="auto"/>
                <w:lang w:val="en-US"/>
              </w:rPr>
              <w:t>一种外致热源</w:t>
            </w:r>
            <w:proofErr w:type="gramEnd"/>
            <w:r>
              <w:rPr>
                <w:rStyle w:val="font31"/>
                <w:rFonts w:hint="default"/>
                <w:color w:val="auto"/>
                <w:lang w:val="en-US"/>
              </w:rPr>
              <w:t>——</w:t>
            </w:r>
            <w:r>
              <w:rPr>
                <w:rStyle w:val="font31"/>
                <w:rFonts w:hint="default"/>
                <w:color w:val="auto"/>
                <w:lang w:val="en-US"/>
              </w:rPr>
              <w:t>疟原虫为切入点，引出我国科学家对世界抗疟疾事业的重大贡献</w:t>
            </w:r>
            <w:r>
              <w:rPr>
                <w:rStyle w:val="font31"/>
                <w:rFonts w:hint="default"/>
                <w:color w:val="auto"/>
                <w:lang w:val="en-US"/>
              </w:rPr>
              <w:t>——</w:t>
            </w:r>
            <w:r>
              <w:rPr>
                <w:rStyle w:val="font31"/>
                <w:rFonts w:hint="default"/>
                <w:color w:val="auto"/>
                <w:lang w:val="en-US"/>
              </w:rPr>
              <w:t>青蒿素的研究，介绍我国科学家通过不懈努力，在中医药领域取得的重大发现、进展以及对世界医疗卫生事业的巨大贡献，以此激发学生的民族自豪感以及对开发中医药研究的信心。</w:t>
            </w:r>
            <w:r>
              <w:rPr>
                <w:rStyle w:val="font31"/>
                <w:rFonts w:hint="default"/>
                <w:color w:val="auto"/>
                <w:lang w:val="en-US"/>
              </w:rPr>
              <w:t xml:space="preserve">  </w:t>
            </w:r>
          </w:p>
          <w:p w:rsidR="00E87949" w:rsidRDefault="00062E26">
            <w:pPr>
              <w:widowControl/>
              <w:textAlignment w:val="center"/>
              <w:rPr>
                <w:sz w:val="18"/>
                <w:szCs w:val="18"/>
                <w:lang w:val="en-US"/>
              </w:rPr>
            </w:pPr>
            <w:r>
              <w:rPr>
                <w:rStyle w:val="font31"/>
                <w:rFonts w:hint="default"/>
                <w:color w:val="auto"/>
                <w:lang w:val="en-US"/>
              </w:rPr>
              <w:t>2.</w:t>
            </w:r>
            <w:r>
              <w:rPr>
                <w:rStyle w:val="font31"/>
                <w:rFonts w:hint="default"/>
                <w:color w:val="auto"/>
                <w:lang w:val="en-US"/>
              </w:rPr>
              <w:t>通过介绍青霉素的发现史，展现科学家潜心研究、甘于奉献的科学精神。</w:t>
            </w:r>
            <w:r>
              <w:rPr>
                <w:rStyle w:val="font31"/>
                <w:rFonts w:hint="default"/>
                <w:color w:val="auto"/>
                <w:lang w:val="en-US"/>
              </w:rPr>
              <w:t xml:space="preserve"> </w:t>
            </w:r>
            <w:r>
              <w:rPr>
                <w:rStyle w:val="font31"/>
                <w:rFonts w:hint="default"/>
                <w:color w:val="auto"/>
                <w:lang w:val="en-US"/>
              </w:rPr>
              <w:t>同时也提示了科学的重大进展可能源于偶然发现，借此启发学生在科学实践中重视积累、敏于观察并对偶然发现保持持久探究机制的热情。</w:t>
            </w:r>
          </w:p>
          <w:p w:rsidR="00E87949" w:rsidRDefault="00062E26">
            <w:pPr>
              <w:widowControl/>
              <w:textAlignment w:val="center"/>
              <w:rPr>
                <w:sz w:val="18"/>
                <w:szCs w:val="18"/>
              </w:rPr>
            </w:pPr>
            <w:r>
              <w:rPr>
                <w:rFonts w:hint="eastAsia"/>
                <w:sz w:val="19"/>
                <w:szCs w:val="19"/>
                <w:lang w:val="en-US"/>
              </w:rPr>
              <w:t>3.</w:t>
            </w:r>
            <w:r>
              <w:rPr>
                <w:rFonts w:hint="eastAsia"/>
                <w:sz w:val="19"/>
                <w:szCs w:val="19"/>
                <w:lang w:val="en-US"/>
              </w:rPr>
              <w:t>以发热病因多样性及复杂性的专业</w:t>
            </w:r>
            <w:r>
              <w:rPr>
                <w:rStyle w:val="font11"/>
                <w:rFonts w:hint="default"/>
                <w:color w:val="auto"/>
                <w:lang w:val="en-US"/>
              </w:rPr>
              <w:t>知识点引出瑞金医院感染科排</w:t>
            </w:r>
            <w:r>
              <w:rPr>
                <w:rStyle w:val="font11"/>
                <w:rFonts w:hint="default"/>
                <w:color w:val="auto"/>
                <w:lang w:val="en-US"/>
              </w:rPr>
              <w:t>查一例不明原因发热病例的报道，再现病因诊断过程中，医护专家所展示出来的</w:t>
            </w:r>
            <w:r>
              <w:rPr>
                <w:rStyle w:val="font11"/>
                <w:rFonts w:hint="default"/>
                <w:color w:val="auto"/>
                <w:lang w:val="en-US"/>
              </w:rPr>
              <w:t>“</w:t>
            </w:r>
            <w:r>
              <w:rPr>
                <w:rStyle w:val="font11"/>
                <w:rFonts w:hint="default"/>
                <w:color w:val="auto"/>
                <w:lang w:val="en-US"/>
              </w:rPr>
              <w:t>耐心、细致和重复</w:t>
            </w:r>
            <w:r>
              <w:rPr>
                <w:rStyle w:val="font11"/>
                <w:rFonts w:hint="default"/>
                <w:color w:val="auto"/>
                <w:lang w:val="en-US"/>
              </w:rPr>
              <w:t>”,</w:t>
            </w:r>
            <w:r>
              <w:rPr>
                <w:rStyle w:val="font11"/>
                <w:rFonts w:hint="default"/>
                <w:color w:val="auto"/>
                <w:lang w:val="en-US"/>
              </w:rPr>
              <w:t>以此引导医学</w:t>
            </w:r>
            <w:proofErr w:type="gramStart"/>
            <w:r>
              <w:rPr>
                <w:rStyle w:val="font11"/>
                <w:rFonts w:hint="default"/>
                <w:color w:val="auto"/>
                <w:lang w:val="en-US"/>
              </w:rPr>
              <w:t>生理解</w:t>
            </w:r>
            <w:proofErr w:type="gramEnd"/>
            <w:r>
              <w:rPr>
                <w:rStyle w:val="font11"/>
                <w:rFonts w:hint="default"/>
                <w:color w:val="auto"/>
                <w:lang w:val="en-US"/>
              </w:rPr>
              <w:t>构建和谐医患关系在救治患者过程中的重要性和必要性。</w:t>
            </w:r>
          </w:p>
        </w:tc>
      </w:tr>
      <w:tr w:rsidR="00E87949" w:rsidTr="00062E26">
        <w:trPr>
          <w:trHeight w:val="1522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062E26"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  <w:r>
              <w:rPr>
                <w:rFonts w:hint="eastAsia"/>
                <w:sz w:val="19"/>
                <w:szCs w:val="19"/>
                <w:lang w:val="en-US"/>
              </w:rPr>
              <w:t>1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E87949"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E87949">
            <w:pPr>
              <w:widowControl/>
              <w:textAlignment w:val="center"/>
              <w:rPr>
                <w:sz w:val="19"/>
                <w:szCs w:val="19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E87949">
            <w:pPr>
              <w:widowControl/>
              <w:textAlignment w:val="center"/>
              <w:rPr>
                <w:sz w:val="19"/>
                <w:szCs w:val="19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E87949">
            <w:pPr>
              <w:widowControl/>
              <w:jc w:val="center"/>
              <w:textAlignment w:val="center"/>
              <w:rPr>
                <w:sz w:val="19"/>
                <w:szCs w:val="19"/>
              </w:rPr>
            </w:pPr>
          </w:p>
        </w:tc>
        <w:tc>
          <w:tcPr>
            <w:tcW w:w="7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E87949">
            <w:pPr>
              <w:widowControl/>
              <w:textAlignment w:val="center"/>
              <w:rPr>
                <w:sz w:val="19"/>
                <w:szCs w:val="19"/>
              </w:rPr>
            </w:pPr>
          </w:p>
        </w:tc>
      </w:tr>
      <w:tr w:rsidR="00E87949" w:rsidTr="00062E26">
        <w:trPr>
          <w:trHeight w:val="1556"/>
          <w:jc w:val="center"/>
        </w:trPr>
        <w:tc>
          <w:tcPr>
            <w:tcW w:w="76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062E26">
            <w:pPr>
              <w:widowControl/>
              <w:jc w:val="center"/>
              <w:textAlignment w:val="center"/>
              <w:rPr>
                <w:sz w:val="19"/>
                <w:szCs w:val="19"/>
                <w:lang w:val="en-US"/>
              </w:rPr>
            </w:pPr>
            <w:r>
              <w:rPr>
                <w:rFonts w:hint="eastAsia"/>
                <w:sz w:val="19"/>
                <w:szCs w:val="19"/>
                <w:lang w:val="en-US"/>
              </w:rPr>
              <w:t>2</w:t>
            </w:r>
          </w:p>
        </w:tc>
        <w:tc>
          <w:tcPr>
            <w:tcW w:w="975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E87949">
            <w:pPr>
              <w:widowControl/>
              <w:jc w:val="center"/>
              <w:textAlignment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83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E87949">
            <w:pPr>
              <w:widowControl/>
              <w:textAlignment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2034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E87949">
            <w:pPr>
              <w:widowControl/>
              <w:textAlignment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1350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E87949">
            <w:pPr>
              <w:widowControl/>
              <w:jc w:val="center"/>
              <w:textAlignment w:val="center"/>
              <w:rPr>
                <w:sz w:val="19"/>
                <w:szCs w:val="19"/>
                <w:lang w:val="en-US"/>
              </w:rPr>
            </w:pPr>
          </w:p>
        </w:tc>
        <w:tc>
          <w:tcPr>
            <w:tcW w:w="7086" w:type="dxa"/>
            <w:tcBorders>
              <w:tl2br w:val="nil"/>
              <w:tr2bl w:val="nil"/>
            </w:tcBorders>
            <w:shd w:val="clear" w:color="auto" w:fill="auto"/>
            <w:vAlign w:val="center"/>
          </w:tcPr>
          <w:p w:rsidR="00E87949" w:rsidRDefault="00E87949">
            <w:pPr>
              <w:widowControl/>
              <w:textAlignment w:val="center"/>
              <w:rPr>
                <w:sz w:val="19"/>
                <w:szCs w:val="19"/>
                <w:lang w:val="en-US"/>
              </w:rPr>
            </w:pPr>
          </w:p>
        </w:tc>
      </w:tr>
    </w:tbl>
    <w:p w:rsidR="00E87949" w:rsidRDefault="00E87949" w:rsidP="00062E26"/>
    <w:sectPr w:rsidR="00E87949" w:rsidSect="00E87949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D7F788B"/>
    <w:multiLevelType w:val="singleLevel"/>
    <w:tmpl w:val="3D7F788B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9"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TY5OTczZTk5MmEzZDA3M2I5YzE1Y2RjMGE4OTMxYjcifQ=="/>
  </w:docVars>
  <w:rsids>
    <w:rsidRoot w:val="3AA516F3"/>
    <w:rsid w:val="00062E26"/>
    <w:rsid w:val="00E87949"/>
    <w:rsid w:val="0BC65752"/>
    <w:rsid w:val="15097D06"/>
    <w:rsid w:val="3AA516F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uiPriority="1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uiPriority w:val="1"/>
    <w:qFormat/>
    <w:rsid w:val="00E87949"/>
    <w:pPr>
      <w:widowControl w:val="0"/>
      <w:autoSpaceDE w:val="0"/>
      <w:autoSpaceDN w:val="0"/>
    </w:pPr>
    <w:rPr>
      <w:rFonts w:ascii="宋体" w:eastAsia="宋体" w:hAnsi="宋体" w:cs="宋体"/>
      <w:sz w:val="22"/>
      <w:szCs w:val="22"/>
      <w:lang w:val="zh-CN" w:bidi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1">
    <w:name w:val="font11"/>
    <w:basedOn w:val="a0"/>
    <w:qFormat/>
    <w:rsid w:val="00E87949"/>
    <w:rPr>
      <w:rFonts w:ascii="宋体" w:eastAsia="宋体" w:hAnsi="宋体" w:cs="宋体" w:hint="eastAsia"/>
      <w:color w:val="000000"/>
      <w:sz w:val="19"/>
      <w:szCs w:val="19"/>
      <w:u w:val="none"/>
    </w:rPr>
  </w:style>
  <w:style w:type="character" w:customStyle="1" w:styleId="font31">
    <w:name w:val="font31"/>
    <w:basedOn w:val="a0"/>
    <w:qFormat/>
    <w:rsid w:val="00E87949"/>
    <w:rPr>
      <w:rFonts w:ascii="宋体" w:eastAsia="宋体" w:hAnsi="宋体" w:cs="宋体" w:hint="eastAsia"/>
      <w:color w:val="000000"/>
      <w:sz w:val="18"/>
      <w:szCs w:val="18"/>
      <w:u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78</Words>
  <Characters>450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紫苏</dc:creator>
  <cp:lastModifiedBy>DXB</cp:lastModifiedBy>
  <cp:revision>2</cp:revision>
  <dcterms:created xsi:type="dcterms:W3CDTF">2023-07-14T02:28:00Z</dcterms:created>
  <dcterms:modified xsi:type="dcterms:W3CDTF">2023-07-14T08:49:00Z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5089D7176942436AB755B1CC83D662C0_11</vt:lpwstr>
  </property>
</Properties>
</file>