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Lines="50" w:afterLines="80"/>
        <w:jc w:val="left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napToGrid w:val="0"/>
        <w:spacing w:beforeLines="50" w:afterLines="80"/>
        <w:jc w:val="center"/>
        <w:textAlignment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20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23</w:t>
      </w:r>
      <w:r>
        <w:rPr>
          <w:rFonts w:hint="eastAsia" w:ascii="方正小标宋简体" w:eastAsia="方正小标宋简体"/>
          <w:sz w:val="40"/>
          <w:szCs w:val="40"/>
        </w:rPr>
        <w:t>年度陕西省教师教育改革与教师发展研究项目立项名单</w:t>
      </w:r>
    </w:p>
    <w:bookmarkEnd w:id="0"/>
    <w:tbl>
      <w:tblPr>
        <w:tblStyle w:val="3"/>
        <w:tblW w:w="124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871"/>
        <w:gridCol w:w="6247"/>
        <w:gridCol w:w="1394"/>
        <w:gridCol w:w="20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项目主持人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SJS2023YB054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科研反哺教学路径探索-以中药制药省级教学团队为例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郭东艳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省级一般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SJS2023YB055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打造一体两翼、师德贯穿、阶梯递进的分析化学育人团队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龙  旭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省级一般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SJS2023YB056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科教融合背景下的医药企业管理学教学实践探索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侯  滢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省级一般</w:t>
            </w:r>
          </w:p>
        </w:tc>
      </w:tr>
    </w:tbl>
    <w:p>
      <w:pPr>
        <w:rPr>
          <w:szCs w:val="24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E5B9AB-4FAD-469B-B47B-D50DCDDCFA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D1BBA6B-0F18-40A4-927D-C1A9494572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2524627B"/>
    <w:rsid w:val="252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2024-01-10T12:18:00Z</dcterms:created>
  <dc:creator>鱼鱼</dc:creator>
  <cp:lastModifiedBy>鱼鱼</cp:lastModifiedBy>
  <dcterms:modified xsi:type="dcterms:W3CDTF">2024-01-10T12:19:43Z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6F21E6B1A76E48448EA57FF5BAF038F7_11</vt:lpwstr>
  </property>
</Properties>
</file>