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80" w:rsidRPr="004F305D" w:rsidRDefault="004F305D" w:rsidP="004F305D">
      <w:pPr>
        <w:spacing w:beforeLines="50" w:before="156" w:afterLines="50" w:after="156" w:line="360" w:lineRule="auto"/>
        <w:jc w:val="center"/>
        <w:rPr>
          <w:rFonts w:ascii="宋体" w:eastAsia="宋体" w:hAnsi="宋体" w:hint="eastAsia"/>
          <w:b/>
          <w:bCs/>
          <w:sz w:val="32"/>
          <w:szCs w:val="32"/>
        </w:rPr>
      </w:pPr>
      <w:r w:rsidRPr="004F305D">
        <w:rPr>
          <w:rFonts w:ascii="宋体" w:eastAsia="宋体" w:hAnsi="宋体" w:hint="eastAsia"/>
          <w:b/>
          <w:bCs/>
          <w:sz w:val="32"/>
          <w:szCs w:val="32"/>
        </w:rPr>
        <w:t>高等学校预防与处理学术不端行为办法（中华人民共和国教育部令第40号）</w:t>
      </w:r>
    </w:p>
    <w:p w:rsidR="004F305D" w:rsidRPr="004F305D" w:rsidRDefault="004F305D" w:rsidP="004F305D">
      <w:pPr>
        <w:widowControl/>
        <w:shd w:val="clear" w:color="auto" w:fill="FFFFFF"/>
        <w:spacing w:line="360" w:lineRule="auto"/>
        <w:ind w:firstLineChars="200" w:firstLine="480"/>
        <w:rPr>
          <w:rFonts w:ascii="宋体" w:eastAsia="宋体" w:hAnsi="宋体" w:cs="宋体"/>
          <w:color w:val="4B4B4B"/>
          <w:kern w:val="0"/>
          <w:sz w:val="24"/>
          <w:szCs w:val="24"/>
        </w:rPr>
      </w:pPr>
      <w:r w:rsidRPr="004F305D">
        <w:rPr>
          <w:rFonts w:ascii="宋体" w:eastAsia="宋体" w:hAnsi="宋体" w:cs="宋体" w:hint="eastAsia"/>
          <w:color w:val="4B4B4B"/>
          <w:kern w:val="0"/>
          <w:sz w:val="24"/>
          <w:szCs w:val="24"/>
        </w:rPr>
        <w:t>《高等学校预防与处理学术不端行为办法》已于2016年4月5日经教育部2016年第14次部长办公会议审议通过，现予发布，自2016年9月1日起施行。</w:t>
      </w:r>
    </w:p>
    <w:p w:rsidR="004F305D" w:rsidRPr="004F305D" w:rsidRDefault="004F305D" w:rsidP="004F305D">
      <w:pPr>
        <w:widowControl/>
        <w:shd w:val="clear" w:color="auto" w:fill="FFFFFF"/>
        <w:spacing w:line="360" w:lineRule="auto"/>
        <w:jc w:val="right"/>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教育部部长 袁贵仁</w:t>
      </w:r>
    </w:p>
    <w:p w:rsidR="004F305D" w:rsidRPr="004F305D" w:rsidRDefault="004F305D" w:rsidP="004F305D">
      <w:pPr>
        <w:widowControl/>
        <w:shd w:val="clear" w:color="auto" w:fill="FFFFFF"/>
        <w:spacing w:line="360" w:lineRule="auto"/>
        <w:jc w:val="right"/>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2016年6月16日</w:t>
      </w:r>
    </w:p>
    <w:p w:rsidR="004F305D" w:rsidRPr="004F305D" w:rsidRDefault="004F305D" w:rsidP="004F305D">
      <w:pPr>
        <w:widowControl/>
        <w:shd w:val="clear" w:color="auto" w:fill="FFFFFF"/>
        <w:spacing w:line="360" w:lineRule="auto"/>
        <w:jc w:val="center"/>
        <w:rPr>
          <w:rFonts w:ascii="宋体" w:eastAsia="宋体" w:hAnsi="宋体" w:cs="宋体" w:hint="eastAsia"/>
          <w:b/>
          <w:color w:val="4B4B4B"/>
          <w:kern w:val="0"/>
          <w:sz w:val="28"/>
          <w:szCs w:val="24"/>
        </w:rPr>
      </w:pPr>
      <w:r w:rsidRPr="004F305D">
        <w:rPr>
          <w:rFonts w:ascii="宋体" w:eastAsia="宋体" w:hAnsi="宋体" w:cs="宋体" w:hint="eastAsia"/>
          <w:b/>
          <w:color w:val="4B4B4B"/>
          <w:kern w:val="0"/>
          <w:sz w:val="28"/>
          <w:szCs w:val="24"/>
          <w:bdr w:val="none" w:sz="0" w:space="0" w:color="auto" w:frame="1"/>
        </w:rPr>
        <w:t>高等学校预防与处理学术不端行为办法</w:t>
      </w:r>
    </w:p>
    <w:p w:rsidR="004F305D" w:rsidRPr="004F305D" w:rsidRDefault="004F305D" w:rsidP="004F305D">
      <w:pPr>
        <w:widowControl/>
        <w:shd w:val="clear" w:color="auto" w:fill="FFFFFF"/>
        <w:spacing w:line="360" w:lineRule="auto"/>
        <w:rPr>
          <w:rFonts w:ascii="宋体" w:eastAsia="宋体" w:hAnsi="宋体" w:cs="宋体" w:hint="eastAsia"/>
          <w:b/>
          <w:color w:val="4B4B4B"/>
          <w:kern w:val="0"/>
          <w:sz w:val="24"/>
          <w:szCs w:val="24"/>
        </w:rPr>
      </w:pPr>
      <w:r w:rsidRPr="004F305D">
        <w:rPr>
          <w:rFonts w:ascii="宋体" w:eastAsia="宋体" w:hAnsi="宋体" w:cs="宋体" w:hint="eastAsia"/>
          <w:b/>
          <w:color w:val="4B4B4B"/>
          <w:kern w:val="0"/>
          <w:sz w:val="24"/>
          <w:szCs w:val="24"/>
          <w:bdr w:val="none" w:sz="0" w:space="0" w:color="auto" w:frame="1"/>
        </w:rPr>
        <w:t xml:space="preserve">　　第一章　总则</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第二条　</w:t>
      </w:r>
      <w:r w:rsidRPr="004F305D">
        <w:rPr>
          <w:rFonts w:ascii="宋体" w:eastAsia="宋体" w:hAnsi="宋体" w:cs="宋体" w:hint="eastAsia"/>
          <w:color w:val="FF0000"/>
          <w:kern w:val="0"/>
          <w:sz w:val="24"/>
          <w:szCs w:val="24"/>
        </w:rPr>
        <w:t>本办法所称学术不端行为是指高等学校及其教学科研人员、管理人员和学生，在科学研究及相关活动中发生的违反公认的学术准则、违背学术诚信的行为。</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4B4B4B"/>
          <w:kern w:val="0"/>
          <w:sz w:val="24"/>
          <w:szCs w:val="24"/>
        </w:rPr>
        <w:t xml:space="preserve">　　第三条　</w:t>
      </w:r>
      <w:r w:rsidRPr="004F305D">
        <w:rPr>
          <w:rFonts w:ascii="宋体" w:eastAsia="宋体" w:hAnsi="宋体" w:cs="宋体" w:hint="eastAsia"/>
          <w:color w:val="FF0000"/>
          <w:kern w:val="0"/>
          <w:sz w:val="24"/>
          <w:szCs w:val="24"/>
        </w:rPr>
        <w:t>高等学校预防与处理学术不端行为应坚持预防为主、教育与惩戒结合的原则。</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高等学校应当充分发挥学术委员会在学风建设方面的作用，支持和保障学术委员会依法履行职责，调查、认定学术不端行为。</w:t>
      </w:r>
    </w:p>
    <w:p w:rsidR="004F305D" w:rsidRPr="004F305D" w:rsidRDefault="004F305D" w:rsidP="004F305D">
      <w:pPr>
        <w:widowControl/>
        <w:shd w:val="clear" w:color="auto" w:fill="FFFFFF"/>
        <w:spacing w:line="360" w:lineRule="auto"/>
        <w:rPr>
          <w:rFonts w:ascii="宋体" w:eastAsia="宋体" w:hAnsi="宋体" w:cs="宋体" w:hint="eastAsia"/>
          <w:b/>
          <w:color w:val="4B4B4B"/>
          <w:kern w:val="0"/>
          <w:sz w:val="24"/>
          <w:szCs w:val="24"/>
        </w:rPr>
      </w:pPr>
      <w:r w:rsidRPr="004F305D">
        <w:rPr>
          <w:rFonts w:ascii="宋体" w:eastAsia="宋体" w:hAnsi="宋体" w:cs="宋体" w:hint="eastAsia"/>
          <w:b/>
          <w:color w:val="4B4B4B"/>
          <w:kern w:val="0"/>
          <w:sz w:val="24"/>
          <w:szCs w:val="24"/>
        </w:rPr>
        <w:t xml:space="preserve">　　</w:t>
      </w:r>
      <w:r w:rsidRPr="004F305D">
        <w:rPr>
          <w:rFonts w:ascii="宋体" w:eastAsia="宋体" w:hAnsi="宋体" w:cs="宋体" w:hint="eastAsia"/>
          <w:b/>
          <w:color w:val="4B4B4B"/>
          <w:kern w:val="0"/>
          <w:sz w:val="24"/>
          <w:szCs w:val="24"/>
          <w:bdr w:val="none" w:sz="0" w:space="0" w:color="auto" w:frame="1"/>
        </w:rPr>
        <w:t>第二章　教育与预防</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lastRenderedPageBreak/>
        <w:t xml:space="preserve">　　第六条　高等学校应当完善学术治理体系，建立科学公正的学术评价和学术发展制度，营造鼓励创新、宽容失败、不骄不躁、风清气正的学术环境。</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w:t>
      </w:r>
      <w:r w:rsidRPr="004F305D">
        <w:rPr>
          <w:rFonts w:ascii="宋体" w:eastAsia="宋体" w:hAnsi="宋体" w:cs="宋体" w:hint="eastAsia"/>
          <w:color w:val="FF0000"/>
          <w:kern w:val="0"/>
          <w:sz w:val="24"/>
          <w:szCs w:val="24"/>
        </w:rPr>
        <w:t>高等学校教学科研人员、管理人员、学生在科研活动中应当遵循实事求是的科学精神和严谨认真的治学态度，恪守学术诚信，遵循学术准则，尊重和保护他人知识产权等合法权益。</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4B4B4B"/>
          <w:kern w:val="0"/>
          <w:sz w:val="24"/>
          <w:szCs w:val="24"/>
        </w:rPr>
        <w:t xml:space="preserve">　　第七条　</w:t>
      </w:r>
      <w:r w:rsidRPr="004F305D">
        <w:rPr>
          <w:rFonts w:ascii="宋体" w:eastAsia="宋体" w:hAnsi="宋体" w:cs="宋体" w:hint="eastAsia"/>
          <w:color w:val="FF0000"/>
          <w:kern w:val="0"/>
          <w:sz w:val="24"/>
          <w:szCs w:val="24"/>
        </w:rPr>
        <w:t>高等学校应当将学术规范和学术诚信教育，作为教师培训和学生教育的必要内容，以多种形式开展教育、培训。</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教师对其指导的学生应当进行学术规范、学术诚信教育和指导，对学生公开发表论文、研究和撰写学位论文是否符合学术规范、学术诚信要求，进行必要的检查与审核。</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第八条　高等学校应当利用信息技术等手段，建立对学术成果、学位论文所涉及内容的知识产权查询制度，健全学术规范监督机制。</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第九条　</w:t>
      </w:r>
      <w:r w:rsidRPr="004F305D">
        <w:rPr>
          <w:rFonts w:ascii="宋体" w:eastAsia="宋体" w:hAnsi="宋体" w:cs="宋体" w:hint="eastAsia"/>
          <w:color w:val="FF0000"/>
          <w:kern w:val="0"/>
          <w:sz w:val="24"/>
          <w:szCs w:val="24"/>
        </w:rPr>
        <w:t>高等学校应当建立健全科研管理制度，在合理期限内保存研究的原始数据和资料，保证科研档案和数据的真实性、完整性。</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高等学校应当完善科研项目评审、学术成果鉴定程序，结合学科特点，对非涉密的科研项目申报材料、学术成果的基本信息以适当方式进行公开。</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第十条　高等学校应当遵循学术研究规律，建立科学的学术水平考核评价标准、办法，引导教学科研人员和学生潜心研究，形成具有创新性、独创性的研究成果。</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第十一条　高等学校应当建立教学科研人员学术诚信记录，在年度考核、职称评定、岗位聘用、课题立项、人才计划、评优奖励中强化学术诚信考核。</w:t>
      </w:r>
    </w:p>
    <w:p w:rsidR="004F305D" w:rsidRPr="004F305D" w:rsidRDefault="004F305D" w:rsidP="004F305D">
      <w:pPr>
        <w:widowControl/>
        <w:shd w:val="clear" w:color="auto" w:fill="FFFFFF"/>
        <w:spacing w:line="360" w:lineRule="auto"/>
        <w:rPr>
          <w:rFonts w:ascii="宋体" w:eastAsia="宋体" w:hAnsi="宋体" w:cs="宋体" w:hint="eastAsia"/>
          <w:b/>
          <w:color w:val="4B4B4B"/>
          <w:kern w:val="0"/>
          <w:sz w:val="24"/>
          <w:szCs w:val="24"/>
        </w:rPr>
      </w:pPr>
      <w:r w:rsidRPr="004F305D">
        <w:rPr>
          <w:rFonts w:ascii="宋体" w:eastAsia="宋体" w:hAnsi="宋体" w:cs="宋体" w:hint="eastAsia"/>
          <w:b/>
          <w:color w:val="4B4B4B"/>
          <w:kern w:val="0"/>
          <w:sz w:val="24"/>
          <w:szCs w:val="24"/>
        </w:rPr>
        <w:t xml:space="preserve">　　</w:t>
      </w:r>
      <w:r w:rsidRPr="004F305D">
        <w:rPr>
          <w:rFonts w:ascii="宋体" w:eastAsia="宋体" w:hAnsi="宋体" w:cs="宋体" w:hint="eastAsia"/>
          <w:b/>
          <w:color w:val="4B4B4B"/>
          <w:kern w:val="0"/>
          <w:sz w:val="24"/>
          <w:szCs w:val="24"/>
          <w:bdr w:val="none" w:sz="0" w:space="0" w:color="auto" w:frame="1"/>
        </w:rPr>
        <w:t>第三章　受理与调查</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第十三条　对学术不端行为的举报，一般应当以书面方式实名提出，并符合下列条件：</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（一）有明确的举报对象；</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lastRenderedPageBreak/>
        <w:t xml:space="preserve">　　（二）有实施学术不端行为的事实；</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（三）有客观的证据材料或者查证线索。</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以匿名方式举报，但事实清楚、证据充分或者线索明确的，高等学校应当视情况予以受理。</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第十四条　高等学校对媒体公开报道、其他学术机构或者社会组织主动披露的涉及本校人员的学术不端行为，应当依据职权，主动进行调查处理。</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第十五条　高等学校受理机构认为举报材料符合条件的，应当及时作出受理决定，并通知举报人。不予受理的，应当书面说明理由。</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第十六条　学术不端行为举报受理后，应当交由学校学术委员会按照相关程序组织开展调查。</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学术委员会可委托有关专家就举报内容的合理性、调查的可能性等进行初步审查，并作出是否进入正式调查的决定。</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决定不进入正式调查的，应当告知举报人。举报人如有新的证据，可以提出异议。异议成立的，应当进入正式调查。</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第十七条　高等学校学术委员会决定进入正式调查的，应当通知被举报人。</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被调查行为涉及资助项目的，可以同时通知项目资助方。</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第十八条　高等学校学术委员会应当组成调查组，负责对被举报行为进行调查；但对事实清楚、证据确凿、情节简单的被举报行为，也可以采用简易调查程序，具体办法由学术委员会确定。</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调查组应当不少于３人，必要时应当包括学校纪检、监察机构指派的工作人员，可以邀请同行专家参与调查或者以咨询等方式提供学术判断。</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被调查行为涉及资助项目的，可以邀请项目资助方委派相关专业人员参与调查组。</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第十九条　调查组的组成人员与举报人或者被举报人有合作研究、亲属或者导师学生等直接利害关系的，应当回避。</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第二十条　调查可通过查询资料、现场查看、实验检验、询问证人、询问举报人和被举报人等方式进行。调查组认为有必要的，可以委托无利害关系的专家或者第三方专业机构就有关事项进行独立调查或者验证。</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lastRenderedPageBreak/>
        <w:t xml:space="preserve">　　第二十一条　调查组在调查过程中，应当认真听取被举报人的陈述、申辩，对有关事实、理由和证据进行核实；认为必要的，可以采取听证方式。</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第二十二条　有关单位和个人应当为调查组开展工作提供必要的便利和协助。</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举报人、被举报人、证人及其他有关人员应当如实回答询问，配合调查，提供相关证据材料，不得隐瞒或者提供虚假信息。</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第二十三条　调查过程中，出现知识产权等争议引发的法律纠纷的，且该争议可能影响行为定性的，应当中止调查，待争议解决后重启调查。</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第二十四条　调查组应当在查清事实的基础上形成调查报告。调查报告应当包括学术不端行为责任人的确认、调查过程、事实认定及理由、调查结论等。</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学术不端行为由多人集体做出的，调查报告中应当区别各责任人在行为中所发挥的作用。</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第二十五条　接触举报材料和参与调查处理的人员，不得向无关人员透露举报人、被举报人个人信息及调查情况。</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w:t>
      </w:r>
      <w:r w:rsidRPr="004F305D">
        <w:rPr>
          <w:rFonts w:ascii="宋体" w:eastAsia="宋体" w:hAnsi="宋体" w:cs="宋体" w:hint="eastAsia"/>
          <w:color w:val="4B4B4B"/>
          <w:kern w:val="0"/>
          <w:sz w:val="24"/>
          <w:szCs w:val="24"/>
          <w:bdr w:val="none" w:sz="0" w:space="0" w:color="auto" w:frame="1"/>
        </w:rPr>
        <w:t>第四章　认定</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第二十六条　高等学校学术委员会应当对调查组提交的调查报告进行审查；必要的，应当听取调查组的汇报。</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学术委员会可以召开全体会议或者授权专门委员会对被调查行为是否构成学术不端行为以及行为的性质、情节等作出认定结论，并依职权作出处理或建议学校作出相应处理。</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4B4B4B"/>
          <w:kern w:val="0"/>
          <w:sz w:val="24"/>
          <w:szCs w:val="24"/>
        </w:rPr>
        <w:t xml:space="preserve">　　</w:t>
      </w:r>
      <w:r w:rsidRPr="004F305D">
        <w:rPr>
          <w:rFonts w:ascii="宋体" w:eastAsia="宋体" w:hAnsi="宋体" w:cs="宋体" w:hint="eastAsia"/>
          <w:color w:val="FF0000"/>
          <w:kern w:val="0"/>
          <w:sz w:val="24"/>
          <w:szCs w:val="24"/>
        </w:rPr>
        <w:t>第二十七条　经调查，确认被举报人在科学研究及相关活动中有下列行为之一的，应当认定为构成学术不端行为：</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（一）剽窃、抄袭、侵占他人学术成果；</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（二）篡改他人研究成果；</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（三）伪造科研数据、资料、文献、注释，或者捏造事实、编造虚假研究成果；</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（四）未参加研究或创作而在研究成果、学术论文上署名，未经他人许可而不当使用他人署名，虚构合作者共同署名，或者多人共同完成研究而在成果中未注明他人工作、贡献；</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lastRenderedPageBreak/>
        <w:t xml:space="preserve">　　（五）在申报课题、成果、奖励和职务评审评定、申请学位等过程中提供虚假学术信息；</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（六）买卖论文、由他人代写或者为他人代写论文；</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FF0000"/>
          <w:kern w:val="0"/>
          <w:sz w:val="24"/>
          <w:szCs w:val="24"/>
        </w:rPr>
        <w:t xml:space="preserve">　  （七）其他根据高等学校或者有关学术组织、相关科研管理机构制定的规则，属于学术不端的行为。</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4B4B4B"/>
          <w:kern w:val="0"/>
          <w:sz w:val="24"/>
          <w:szCs w:val="24"/>
        </w:rPr>
        <w:t xml:space="preserve">　　</w:t>
      </w:r>
      <w:r w:rsidRPr="004F305D">
        <w:rPr>
          <w:rFonts w:ascii="宋体" w:eastAsia="宋体" w:hAnsi="宋体" w:cs="宋体" w:hint="eastAsia"/>
          <w:color w:val="FF0000"/>
          <w:kern w:val="0"/>
          <w:sz w:val="24"/>
          <w:szCs w:val="24"/>
        </w:rPr>
        <w:t>第二十八条　有学术不端行为且有下列情形之一的，应当认定为情节严重：</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（一）造成恶劣影响的；</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（二）存在利益输送或者利益交换的；</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（三）对举报人进行打击报复的；</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（四）有组织实施学术不端行为的；</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（五）多次实施学术不端行为的；</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（六）其他造成严重后果或者恶劣影响的。</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w:t>
      </w:r>
      <w:r w:rsidRPr="004F305D">
        <w:rPr>
          <w:rFonts w:ascii="宋体" w:eastAsia="宋体" w:hAnsi="宋体" w:cs="宋体" w:hint="eastAsia"/>
          <w:color w:val="4B4B4B"/>
          <w:kern w:val="0"/>
          <w:sz w:val="24"/>
          <w:szCs w:val="24"/>
          <w:bdr w:val="none" w:sz="0" w:space="0" w:color="auto" w:frame="1"/>
        </w:rPr>
        <w:t>第五章　处理</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第二十九条　高等学校应当根据学术委员会的认定结论和处理建议，结合行为性质和情节轻重，依职权和规定程序对学术不端行为责任人作出如下处理：</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（一）通报批评；</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（二）终止或者撤销相关的科研项目，并在一定期限内取消申请资格；</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（三）撤销学术奖励或者荣誉称号；</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（四）辞退或解聘；</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（五）法律、法规及规章规定的其他处理措施。</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同时，可以依照有关规定，给予警告、记过、降低岗位等级或者撤职、开除等处分。</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学术不端行为责任人获得有关部门、机构设立的科研项目、学术奖励或者荣誉称号等利益的，学校应当同时向有关主管部门提出处理建议。</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4B4B4B"/>
          <w:kern w:val="0"/>
          <w:sz w:val="24"/>
          <w:szCs w:val="24"/>
        </w:rPr>
        <w:t xml:space="preserve">　　</w:t>
      </w:r>
      <w:r w:rsidRPr="004F305D">
        <w:rPr>
          <w:rFonts w:ascii="宋体" w:eastAsia="宋体" w:hAnsi="宋体" w:cs="宋体" w:hint="eastAsia"/>
          <w:color w:val="FF0000"/>
          <w:kern w:val="0"/>
          <w:sz w:val="24"/>
          <w:szCs w:val="24"/>
        </w:rPr>
        <w:t>学生有学术不端行为的，还应当按照学生管理的相关规定，给予相应的学籍处分。</w:t>
      </w:r>
    </w:p>
    <w:p w:rsidR="004F305D" w:rsidRPr="004F305D" w:rsidRDefault="004F305D" w:rsidP="004F305D">
      <w:pPr>
        <w:widowControl/>
        <w:shd w:val="clear" w:color="auto" w:fill="FFFFFF"/>
        <w:spacing w:line="360" w:lineRule="auto"/>
        <w:rPr>
          <w:rFonts w:ascii="宋体" w:eastAsia="宋体" w:hAnsi="宋体" w:cs="宋体" w:hint="eastAsia"/>
          <w:color w:val="FF0000"/>
          <w:kern w:val="0"/>
          <w:sz w:val="24"/>
          <w:szCs w:val="24"/>
        </w:rPr>
      </w:pPr>
      <w:r w:rsidRPr="004F305D">
        <w:rPr>
          <w:rFonts w:ascii="宋体" w:eastAsia="宋体" w:hAnsi="宋体" w:cs="宋体" w:hint="eastAsia"/>
          <w:color w:val="FF0000"/>
          <w:kern w:val="0"/>
          <w:sz w:val="24"/>
          <w:szCs w:val="24"/>
        </w:rPr>
        <w:t xml:space="preserve">　　学术不端行为与获得学位有直接关联的，由学位授予单位作暂缓授予学位、不授予学位或者依法撤销学位等</w:t>
      </w:r>
      <w:bookmarkStart w:id="0" w:name="_GoBack"/>
      <w:bookmarkEnd w:id="0"/>
      <w:r w:rsidRPr="004F305D">
        <w:rPr>
          <w:rFonts w:ascii="宋体" w:eastAsia="宋体" w:hAnsi="宋体" w:cs="宋体" w:hint="eastAsia"/>
          <w:color w:val="FF0000"/>
          <w:kern w:val="0"/>
          <w:sz w:val="24"/>
          <w:szCs w:val="24"/>
        </w:rPr>
        <w:t>处理。</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lastRenderedPageBreak/>
        <w:t xml:space="preserve">　　第三十条　高等学校对学术不端行为作出处理决定，应当制作处理决定书，载明以下内容：</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（一）责任人的基本情况；</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（二）经查证的学术不端行为事实；</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（三）处理意见和依据；</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（四）救济途径和期限；</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（五）其他必要内容。</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第三十一条　经调查认定，不构成学术不端行为的，根据被举报人申请，高等学校应当通过一定方式为其消除影响、恢复名誉等。</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第三十二条　参与举报受理、调查和处理的人员违反保密等规定，造成不良影响的，按照有关规定给予处分或其他处理。</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w:t>
      </w:r>
      <w:r w:rsidRPr="004F305D">
        <w:rPr>
          <w:rFonts w:ascii="宋体" w:eastAsia="宋体" w:hAnsi="宋体" w:cs="宋体" w:hint="eastAsia"/>
          <w:color w:val="4B4B4B"/>
          <w:kern w:val="0"/>
          <w:sz w:val="24"/>
          <w:szCs w:val="24"/>
          <w:bdr w:val="none" w:sz="0" w:space="0" w:color="auto" w:frame="1"/>
        </w:rPr>
        <w:t>第六章　复核</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第三十三条　举报人或者学术不端行为责任人对处理决定不服的，可以在收到处理决定之日起30日内，以书面形式向高等学校提出异议或者复核申请。</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异议和复核不影响处理决定的执行。</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第三十四条　高等学校收到异议或者复核申请后，应当交由学术委员会组织讨论，并于15日内作出是否受理的决定。</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决定受理的，学校或者学术委员会可以另行组织调查组或者委托第三方机构进行调查；决定不予受理的，应当书面通知当事人。</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第三十五条　当事人对复核决定不服，仍以同一事实和理由提出异议或者申请复核的，不予受理；向有关主管部门提出申诉的，按照相关规定执行。</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w:t>
      </w:r>
      <w:r w:rsidRPr="004F305D">
        <w:rPr>
          <w:rFonts w:ascii="宋体" w:eastAsia="宋体" w:hAnsi="宋体" w:cs="宋体" w:hint="eastAsia"/>
          <w:color w:val="4B4B4B"/>
          <w:kern w:val="0"/>
          <w:sz w:val="24"/>
          <w:szCs w:val="24"/>
          <w:bdr w:val="none" w:sz="0" w:space="0" w:color="auto" w:frame="1"/>
        </w:rPr>
        <w:t>第七章　监督</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第三十六条　高等学校应当按年度发布学风建设工作报告，并向社会公开，接受社会监督。</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lastRenderedPageBreak/>
        <w:t xml:space="preserve">　　第三十七条　高等学校处理学术不端行为推诿塞责、隐瞒包庇、查处不力的，主管部门可以直接组织或者委托相关机构查处。</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第三十八条　高等学校对本校发生的学术不端行为，未能及时查处并做出公正结论，造成恶劣影响的，主管部门应当追究相关领导的责任，并进行通报。</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高等学校为获得相关利益，有组织实施学术不端行为的，主管部门调查确认后，应当撤销高等学校由此获得的相关权利、项目以及其他利益，并追究学校主要负责人、直接负责人的责任。</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w:t>
      </w:r>
      <w:r w:rsidRPr="004F305D">
        <w:rPr>
          <w:rFonts w:ascii="宋体" w:eastAsia="宋体" w:hAnsi="宋体" w:cs="宋体" w:hint="eastAsia"/>
          <w:color w:val="4B4B4B"/>
          <w:kern w:val="0"/>
          <w:sz w:val="24"/>
          <w:szCs w:val="24"/>
          <w:bdr w:val="none" w:sz="0" w:space="0" w:color="auto" w:frame="1"/>
        </w:rPr>
        <w:t>第八章　附则</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教育系统所属科研机构及其他单位有关人员学术不端行为的调查与处理，可参照本办法执行。</w:t>
      </w:r>
    </w:p>
    <w:p w:rsidR="004F305D" w:rsidRPr="004F305D" w:rsidRDefault="004F305D" w:rsidP="004F305D">
      <w:pPr>
        <w:widowControl/>
        <w:shd w:val="clear" w:color="auto" w:fill="FFFFFF"/>
        <w:spacing w:line="360" w:lineRule="auto"/>
        <w:rPr>
          <w:rFonts w:ascii="宋体" w:eastAsia="宋体" w:hAnsi="宋体" w:cs="宋体" w:hint="eastAsia"/>
          <w:color w:val="4B4B4B"/>
          <w:kern w:val="0"/>
          <w:sz w:val="24"/>
          <w:szCs w:val="24"/>
        </w:rPr>
      </w:pPr>
      <w:r w:rsidRPr="004F305D">
        <w:rPr>
          <w:rFonts w:ascii="宋体" w:eastAsia="宋体" w:hAnsi="宋体" w:cs="宋体" w:hint="eastAsia"/>
          <w:color w:val="4B4B4B"/>
          <w:kern w:val="0"/>
          <w:sz w:val="24"/>
          <w:szCs w:val="24"/>
        </w:rPr>
        <w:t xml:space="preserve">　　第四十一条　本办法自2016年9月1日起施行。</w:t>
      </w:r>
    </w:p>
    <w:p w:rsidR="004F305D" w:rsidRPr="004F305D" w:rsidRDefault="004F305D" w:rsidP="004F305D">
      <w:pPr>
        <w:widowControl/>
        <w:shd w:val="clear" w:color="auto" w:fill="FFFFFF"/>
        <w:spacing w:line="360" w:lineRule="auto"/>
        <w:rPr>
          <w:rFonts w:ascii="宋体" w:eastAsia="宋体" w:hAnsi="宋体" w:cs="宋体"/>
          <w:color w:val="4B4B4B"/>
          <w:kern w:val="0"/>
          <w:sz w:val="24"/>
          <w:szCs w:val="24"/>
        </w:rPr>
      </w:pPr>
      <w:r w:rsidRPr="004F305D">
        <w:rPr>
          <w:rFonts w:ascii="宋体" w:eastAsia="宋体" w:hAnsi="宋体" w:cs="宋体" w:hint="eastAsia"/>
          <w:color w:val="4B4B4B"/>
          <w:kern w:val="0"/>
          <w:sz w:val="24"/>
          <w:szCs w:val="24"/>
        </w:rPr>
        <w:t xml:space="preserve">　　教育部此前发布的有关规章、文件中的相关规定与本办法不一致的，以本办法为准。</w:t>
      </w:r>
    </w:p>
    <w:sectPr w:rsidR="004F305D" w:rsidRPr="004F30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65"/>
    <w:rsid w:val="003E5012"/>
    <w:rsid w:val="004F305D"/>
    <w:rsid w:val="00C36DB5"/>
    <w:rsid w:val="00D00F2E"/>
    <w:rsid w:val="00D61680"/>
    <w:rsid w:val="00EF6E65"/>
    <w:rsid w:val="00F0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99338">
      <w:bodyDiv w:val="1"/>
      <w:marLeft w:val="0"/>
      <w:marRight w:val="0"/>
      <w:marTop w:val="0"/>
      <w:marBottom w:val="0"/>
      <w:divBdr>
        <w:top w:val="none" w:sz="0" w:space="0" w:color="auto"/>
        <w:left w:val="none" w:sz="0" w:space="0" w:color="auto"/>
        <w:bottom w:val="none" w:sz="0" w:space="0" w:color="auto"/>
        <w:right w:val="none" w:sz="0" w:space="0" w:color="auto"/>
      </w:divBdr>
      <w:divsChild>
        <w:div w:id="765156333">
          <w:marLeft w:val="0"/>
          <w:marRight w:val="0"/>
          <w:marTop w:val="0"/>
          <w:marBottom w:val="0"/>
          <w:divBdr>
            <w:top w:val="none" w:sz="0" w:space="0" w:color="auto"/>
            <w:left w:val="none" w:sz="0" w:space="0" w:color="auto"/>
            <w:bottom w:val="none" w:sz="0" w:space="0" w:color="auto"/>
            <w:right w:val="none" w:sz="0" w:space="0" w:color="auto"/>
          </w:divBdr>
          <w:divsChild>
            <w:div w:id="163670208">
              <w:marLeft w:val="0"/>
              <w:marRight w:val="0"/>
              <w:marTop w:val="0"/>
              <w:marBottom w:val="0"/>
              <w:divBdr>
                <w:top w:val="none" w:sz="0" w:space="0" w:color="auto"/>
                <w:left w:val="none" w:sz="0" w:space="0" w:color="auto"/>
                <w:bottom w:val="none" w:sz="0" w:space="0" w:color="auto"/>
                <w:right w:val="none" w:sz="0" w:space="0" w:color="auto"/>
              </w:divBdr>
              <w:divsChild>
                <w:div w:id="1844274750">
                  <w:marLeft w:val="0"/>
                  <w:marRight w:val="0"/>
                  <w:marTop w:val="0"/>
                  <w:marBottom w:val="0"/>
                  <w:divBdr>
                    <w:top w:val="none" w:sz="0" w:space="0" w:color="auto"/>
                    <w:left w:val="none" w:sz="0" w:space="0" w:color="auto"/>
                    <w:bottom w:val="none" w:sz="0" w:space="0" w:color="auto"/>
                    <w:right w:val="none" w:sz="0" w:space="0" w:color="auto"/>
                  </w:divBdr>
                  <w:divsChild>
                    <w:div w:id="220674488">
                      <w:marLeft w:val="0"/>
                      <w:marRight w:val="0"/>
                      <w:marTop w:val="0"/>
                      <w:marBottom w:val="0"/>
                      <w:divBdr>
                        <w:top w:val="none" w:sz="0" w:space="0" w:color="auto"/>
                        <w:left w:val="none" w:sz="0" w:space="0" w:color="auto"/>
                        <w:bottom w:val="none" w:sz="0" w:space="0" w:color="auto"/>
                        <w:right w:val="none" w:sz="0" w:space="0" w:color="auto"/>
                      </w:divBdr>
                      <w:divsChild>
                        <w:div w:id="1204246314">
                          <w:marLeft w:val="0"/>
                          <w:marRight w:val="0"/>
                          <w:marTop w:val="0"/>
                          <w:marBottom w:val="0"/>
                          <w:divBdr>
                            <w:top w:val="single" w:sz="6" w:space="0" w:color="FFFFFF"/>
                            <w:left w:val="none" w:sz="0" w:space="0" w:color="auto"/>
                            <w:bottom w:val="none" w:sz="0" w:space="0" w:color="auto"/>
                            <w:right w:val="none" w:sz="0" w:space="0" w:color="auto"/>
                          </w:divBdr>
                          <w:divsChild>
                            <w:div w:id="1468401139">
                              <w:marLeft w:val="0"/>
                              <w:marRight w:val="0"/>
                              <w:marTop w:val="0"/>
                              <w:marBottom w:val="0"/>
                              <w:divBdr>
                                <w:top w:val="none" w:sz="0" w:space="0" w:color="auto"/>
                                <w:left w:val="none" w:sz="0" w:space="0" w:color="auto"/>
                                <w:bottom w:val="none" w:sz="0" w:space="0" w:color="auto"/>
                                <w:right w:val="none" w:sz="0" w:space="0" w:color="auto"/>
                              </w:divBdr>
                              <w:divsChild>
                                <w:div w:id="1526402561">
                                  <w:marLeft w:val="0"/>
                                  <w:marRight w:val="0"/>
                                  <w:marTop w:val="0"/>
                                  <w:marBottom w:val="0"/>
                                  <w:divBdr>
                                    <w:top w:val="none" w:sz="0" w:space="0" w:color="auto"/>
                                    <w:left w:val="none" w:sz="0" w:space="0" w:color="auto"/>
                                    <w:bottom w:val="none" w:sz="0" w:space="0" w:color="auto"/>
                                    <w:right w:val="none" w:sz="0" w:space="0" w:color="auto"/>
                                  </w:divBdr>
                                  <w:divsChild>
                                    <w:div w:id="20534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717</Words>
  <Characters>4087</Characters>
  <Application>Microsoft Office Word</Application>
  <DocSecurity>0</DocSecurity>
  <Lines>34</Lines>
  <Paragraphs>9</Paragraphs>
  <ScaleCrop>false</ScaleCrop>
  <Company>微软中国</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2021-12-02T01:29:00Z</dcterms:created>
  <dcterms:modified xsi:type="dcterms:W3CDTF">2021-12-02T01:38:00Z</dcterms:modified>
</cp:coreProperties>
</file>