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方正小标宋简体" w:hAnsi="黑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方正小标宋简体" w:hAnsi="黑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方正小标宋简体" w:hAnsi="黑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方正小标宋简体" w:hAnsi="黑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方正小标宋简体" w:hAnsi="黑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方正小标宋简体" w:hAnsi="黑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方正小标宋简体" w:hAnsi="黑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方正小标宋简体" w:hAnsi="黑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陕中医发规办〔2025〕3号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关于印发《陕西中医药大学</w:t>
      </w:r>
      <w:r>
        <w:rPr>
          <w:rFonts w:ascii="方正小标宋简体" w:hAnsi="黑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年教育</w:t>
      </w:r>
    </w:p>
    <w:p>
      <w:pPr>
        <w:spacing w:line="60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事业统计工作方案》的通知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各单位：</w:t>
      </w:r>
    </w:p>
    <w:p>
      <w:pPr>
        <w:pStyle w:val="7"/>
        <w:keepNext w:val="0"/>
        <w:keepLines w:val="0"/>
        <w:pageBreakBefore w:val="0"/>
        <w:widowControl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仿宋_GB2312" w:hAnsi="宋体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根据《陕西省教育厅办公室关于做好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年全省教育事业统计工作的通知》（陕教信办〔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号）精神，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为做好本年度学校教育事业统计工作，特制定《陕西中医药大学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年教育事业统计工作方案》，现予以印发，请认真学习并遵照执行。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仿宋_GB2312" w:hAnsi="宋体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ascii="仿宋_GB2312" w:hAnsi="宋体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center"/>
        <w:textAlignment w:val="auto"/>
        <w:rPr>
          <w:rFonts w:ascii="仿宋_GB2312" w:hAnsi="宋体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陕西中医药大学校长办公室</w:t>
      </w:r>
    </w:p>
    <w:p>
      <w:pPr>
        <w:pStyle w:val="7"/>
        <w:keepNext w:val="0"/>
        <w:keepLines w:val="0"/>
        <w:pageBreakBefore w:val="0"/>
        <w:widowControl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center"/>
        <w:textAlignment w:val="auto"/>
        <w:rPr>
          <w:rFonts w:ascii="仿宋_GB2312" w:hAnsi="宋体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9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spacing w:line="60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陕西中医药大学</w:t>
      </w:r>
      <w:r>
        <w:rPr>
          <w:rFonts w:ascii="方正小标宋简体" w:hAnsi="黑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年教育</w:t>
      </w:r>
    </w:p>
    <w:p>
      <w:pPr>
        <w:spacing w:line="60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事业统计工作方案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left="1200" w:hanging="600"/>
        <w:rPr>
          <w:rFonts w:cs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kern w:val="2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根据教育部和陕西省教育厅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年全省高等教育事业统计工作部署，按照《陕西省教育厅办公室关于做好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年全省教育事业统计工作的通知》（陕教信办〔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10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号）要求，为进一步规范和组织开展学校教育事业统计工作，结合我校实际，特制定本方案。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1"/>
        <w:rPr>
          <w:rFonts w:hint="eastAsia" w:ascii="仿宋_GB2312" w:hAnsi="仿宋_GB2312" w:eastAsia="仿宋_GB2312" w:cs="仿宋_GB2312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3"/>
          <w:sz w:val="32"/>
          <w:szCs w:val="32"/>
        </w:rPr>
        <w:t>坚持以习近平新时代中国特色社会主义思想为指导，深入学习贯彻</w:t>
      </w:r>
      <w:r>
        <w:rPr>
          <w:rFonts w:hint="eastAsia" w:ascii="仿宋_GB2312" w:hAnsi="仿宋_GB2312" w:eastAsia="仿宋_GB2312" w:cs="仿宋_GB2312"/>
          <w:position w:val="3"/>
          <w:sz w:val="32"/>
          <w:szCs w:val="32"/>
          <w:lang w:eastAsia="zh-CN"/>
        </w:rPr>
        <w:t>习近平总书记关于统计工作重要讲话指示批示精神</w:t>
      </w:r>
      <w:r>
        <w:rPr>
          <w:rFonts w:hint="eastAsia" w:ascii="仿宋_GB2312" w:hAnsi="仿宋_GB2312" w:eastAsia="仿宋_GB2312" w:cs="仿宋_GB2312"/>
          <w:position w:val="3"/>
          <w:sz w:val="32"/>
          <w:szCs w:val="32"/>
        </w:rPr>
        <w:t>，坚持以统计数据质量为中心，坚决贯彻落实统计督察整改工作要求，有效发挥统计监督职能作用，为实现学校高质量发展提供坚实的统计信息支撑。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二、基本原则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Times New Roman"/>
          <w:kern w:val="2"/>
          <w:position w:val="3"/>
          <w:sz w:val="32"/>
          <w:szCs w:val="32"/>
        </w:rPr>
      </w:pPr>
      <w:r>
        <w:rPr>
          <w:rFonts w:hint="eastAsia" w:ascii="楷体" w:hAnsi="楷体" w:eastAsia="楷体" w:cs="楷体"/>
          <w:kern w:val="2"/>
          <w:position w:val="3"/>
          <w:sz w:val="32"/>
          <w:szCs w:val="32"/>
        </w:rPr>
        <w:t>（一）依法统计原则。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依据《中华人民共和国统计法》《教育统计管理规定》《陕西省教育事业统计管理实施细则》等统计法律法规，依法提供统计资料，规范统计行为，依法维护统计秩序。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Times New Roman"/>
          <w:kern w:val="2"/>
          <w:position w:val="3"/>
          <w:sz w:val="32"/>
          <w:szCs w:val="32"/>
        </w:rPr>
      </w:pPr>
      <w:r>
        <w:rPr>
          <w:rFonts w:hint="eastAsia" w:ascii="楷体" w:hAnsi="楷体" w:eastAsia="楷体" w:cs="楷体"/>
          <w:kern w:val="2"/>
          <w:position w:val="3"/>
          <w:sz w:val="32"/>
          <w:szCs w:val="32"/>
        </w:rPr>
        <w:t>（二）求真务实原则。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以客观、公正的科学态度开展统计调查和统计分析，严禁虚报、篡改、伪造、编造统计资料，真实、准确、及时、完整地填报和提供统计数据，确保统计数据质量。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Times New Roman"/>
          <w:kern w:val="2"/>
          <w:position w:val="3"/>
          <w:sz w:val="32"/>
          <w:szCs w:val="32"/>
        </w:rPr>
      </w:pPr>
      <w:r>
        <w:rPr>
          <w:rFonts w:hint="eastAsia" w:ascii="楷体" w:hAnsi="楷体" w:eastAsia="楷体" w:cs="楷体"/>
          <w:kern w:val="2"/>
          <w:position w:val="3"/>
          <w:sz w:val="32"/>
          <w:szCs w:val="32"/>
        </w:rPr>
        <w:t>（三）安全保密原则。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严格遵守国家有关保密规定，建立健全原始资料和统计台账，对数据实行统一归档，防止随意将教育统计信息及学校师生、办学条件等数据外泄。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Times New Roman"/>
          <w:kern w:val="2"/>
          <w:position w:val="3"/>
          <w:sz w:val="32"/>
          <w:szCs w:val="32"/>
        </w:rPr>
      </w:pPr>
      <w:r>
        <w:rPr>
          <w:rFonts w:hint="eastAsia" w:ascii="楷体" w:hAnsi="楷体" w:eastAsia="楷体" w:cs="楷体"/>
          <w:kern w:val="2"/>
          <w:position w:val="3"/>
          <w:sz w:val="32"/>
          <w:szCs w:val="32"/>
        </w:rPr>
        <w:t>（四）强化服务原则。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通过数据统计分析，掌握学校资源配置现状，增强教育统计分析的时效性、针对性和实用性，为学校发展提供咨询意见和决策建议。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768" w:firstLineChars="240"/>
        <w:jc w:val="both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三、工作重点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kern w:val="2"/>
          <w:position w:val="3"/>
          <w:sz w:val="32"/>
          <w:szCs w:val="32"/>
        </w:rPr>
      </w:pPr>
      <w:r>
        <w:rPr>
          <w:rFonts w:hint="eastAsia" w:ascii="楷体" w:hAnsi="楷体" w:eastAsia="楷体" w:cs="楷体"/>
          <w:kern w:val="2"/>
          <w:position w:val="3"/>
          <w:sz w:val="32"/>
          <w:szCs w:val="32"/>
        </w:rPr>
        <w:t>（一）强化组织领导。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坚持“谁填报、谁负责，谁主管、谁审核”原则，成立学校教育事业统计工作领导小组，统一领导、安排部署学校教育统计工作，下设由发展规划处牵头的领导小组办公室，负责学校教育统计工作的组织实施工作，各职能部门安排专人负责教育统计工作，建立由学校统一领导、教育事业统计工作领导小组办公室具体负责、各职能部门协同参与的教育统计管理工作体系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kern w:val="2"/>
          <w:position w:val="3"/>
          <w:sz w:val="32"/>
          <w:szCs w:val="32"/>
        </w:rPr>
      </w:pPr>
      <w:r>
        <w:rPr>
          <w:rFonts w:hint="eastAsia" w:ascii="楷体" w:hAnsi="楷体" w:eastAsia="楷体" w:cs="楷体"/>
          <w:kern w:val="2"/>
          <w:position w:val="3"/>
          <w:sz w:val="32"/>
          <w:szCs w:val="32"/>
        </w:rPr>
        <w:t>（二）加强数据核查。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落实统计督察整改工作要求，聚焦教育统计“回头看”，对教育统计工作实行全流程质量把控，坚持“一级一级抓，层层抓落实”的数据质量责任体系，深入开展数据核查，认真开展数据质量分析和问题查找，巩固深化核查整改成果，牢牢守住数据质量生命线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kern w:val="2"/>
          <w:position w:val="3"/>
          <w:sz w:val="32"/>
          <w:szCs w:val="32"/>
        </w:rPr>
      </w:pPr>
      <w:r>
        <w:rPr>
          <w:rFonts w:hint="eastAsia" w:ascii="楷体" w:hAnsi="楷体" w:eastAsia="楷体" w:cs="楷体"/>
          <w:kern w:val="2"/>
          <w:position w:val="3"/>
          <w:sz w:val="32"/>
          <w:szCs w:val="32"/>
        </w:rPr>
        <w:t>（三）开展业务培训。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加强对教育事业统计培训工作的组织领导，采取集中培训与个人自主学习相结合的形式，加强对全校参与统计人员的业务培训，培训内容兼顾系统性和针对性，确保统计人员能够准确理解指标内涵和填报要求，熟练掌握系统操作流程，从源头上确保数据质量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</w:pPr>
      <w:r>
        <w:rPr>
          <w:rFonts w:hint="eastAsia" w:ascii="楷体" w:hAnsi="楷体" w:eastAsia="楷体" w:cs="楷体"/>
          <w:kern w:val="2"/>
          <w:position w:val="3"/>
          <w:sz w:val="32"/>
          <w:szCs w:val="32"/>
        </w:rPr>
        <w:t>（四）明确修订指标。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聚焦调查表制度中指标修订内容，理解吃透变化，确保数据准确衔接。本年度指标变化点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教学岗银龄教师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应届毕业生就业人数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“应届毕业生升学人数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单元格不再填报。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调整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了“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奖学金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统计指标，增加“最高金额”统计项。三是录取类型来源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报表增加一行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其中女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eastAsia="zh-CN"/>
        </w:rPr>
        <w:t>”。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统计指标名称调整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将“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x年级以上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改为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x年级及以上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eastAsia="zh-CN"/>
        </w:rPr>
        <w:t>”；“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x岁以上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改为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x岁及以上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eastAsia="zh-CN"/>
        </w:rPr>
        <w:t>”。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四、时间安排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kern w:val="2"/>
          <w:position w:val="3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年学校教育事业统计工作共分为四个阶段：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kern w:val="2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position w:val="3"/>
          <w:sz w:val="32"/>
          <w:szCs w:val="32"/>
        </w:rPr>
        <w:t>第一阶段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日至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日）：召开学校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年度教育统计工作部署会议并开展统计业务培训，传达上级有关工作要求，结合学校工作实际，细化数据采集任务，落实责任分工。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kern w:val="2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position w:val="3"/>
          <w:sz w:val="32"/>
          <w:szCs w:val="32"/>
        </w:rPr>
        <w:t>第二阶段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日至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日）：各统计任务责任部门按照分工完成台账数据的收集、整理、填报。其中本科生、研究生、国际学生数据基表应于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日前完成。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kern w:val="2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position w:val="3"/>
          <w:sz w:val="32"/>
          <w:szCs w:val="32"/>
        </w:rPr>
        <w:t>第三阶段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日至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月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日）：学校对整体数据进行汇总、校验、审核，查漏补缺，在教育部系统截止日期前进行校验上报。其中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月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日到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日集中会审。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b/>
          <w:bCs/>
          <w:kern w:val="2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position w:val="3"/>
          <w:sz w:val="32"/>
          <w:szCs w:val="32"/>
        </w:rPr>
        <w:t>第四阶段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月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日至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月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日）：学校对本年度教育统计工作进行全面总结，将自查报告、部署培训会情况、审核汇总会情况及总结报告以单位公函形式进行上报。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五、工作要求及注意事项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kern w:val="2"/>
          <w:position w:val="3"/>
          <w:sz w:val="32"/>
          <w:szCs w:val="32"/>
        </w:rPr>
      </w:pPr>
      <w:r>
        <w:rPr>
          <w:rFonts w:hint="eastAsia" w:ascii="楷体" w:hAnsi="楷体" w:eastAsia="楷体" w:cs="楷体"/>
          <w:kern w:val="2"/>
          <w:position w:val="3"/>
          <w:sz w:val="32"/>
          <w:szCs w:val="32"/>
        </w:rPr>
        <w:t>（一）统一思想，提高认识。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各部门要提高政治站位，准确把握教育事业统计工作对于学校建设发展的重大意义，坚决贯彻落实上级关于统计工作的重要文件及法律法规，确保本年度教育事业统计工作高质量完成。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kern w:val="2"/>
          <w:position w:val="3"/>
          <w:sz w:val="32"/>
          <w:szCs w:val="32"/>
        </w:rPr>
      </w:pPr>
      <w:r>
        <w:rPr>
          <w:rFonts w:hint="eastAsia" w:ascii="楷体" w:hAnsi="楷体" w:eastAsia="楷体" w:cs="楷体"/>
          <w:kern w:val="2"/>
          <w:position w:val="3"/>
          <w:sz w:val="32"/>
          <w:szCs w:val="32"/>
        </w:rPr>
        <w:t>（二）认真学习，精准填报。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各部门在填报前，要积极参与线上线下各类教育统计培训，认真学习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年教育事业统计调查制度与填报说明，学懂弄通指标内涵，准确把握指标要求。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kern w:val="2"/>
          <w:position w:val="3"/>
          <w:sz w:val="32"/>
          <w:szCs w:val="32"/>
        </w:rPr>
      </w:pPr>
      <w:r>
        <w:rPr>
          <w:rFonts w:hint="eastAsia" w:ascii="楷体" w:hAnsi="楷体" w:eastAsia="楷体" w:cs="楷体"/>
          <w:kern w:val="2"/>
          <w:position w:val="3"/>
          <w:sz w:val="32"/>
          <w:szCs w:val="32"/>
        </w:rPr>
        <w:t>（三）强化协作，保障质量。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各部门要积极沟通、紧密协作、加强配合，加大信息共享机制的落实力度，保证填报数据的连贯性和真实性，确保各类数据衔接有序，避免出现数据打架现象。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kern w:val="2"/>
          <w:position w:val="3"/>
          <w:sz w:val="32"/>
          <w:szCs w:val="32"/>
        </w:rPr>
      </w:pPr>
      <w:r>
        <w:rPr>
          <w:rFonts w:hint="eastAsia" w:ascii="楷体" w:hAnsi="楷体" w:eastAsia="楷体" w:cs="楷体"/>
          <w:kern w:val="2"/>
          <w:position w:val="3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kern w:val="2"/>
          <w:position w:val="3"/>
          <w:sz w:val="32"/>
          <w:szCs w:val="32"/>
        </w:rPr>
        <w:t>四）明确调查统计频率与时间节点。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根据教育部和陕西省教育厅相关要求，第三季度报表数据同本年度数据，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年年度统计调查的时点指标填写本学年初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月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的数据，如在校生数、教职工数、占地面积、固定资产总值等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时期指标填写上学年初至学年末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上年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月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日至本年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月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的数据，如毕业生数、复学学生数等。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kern w:val="2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请各相关部门务必于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日上午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12:00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前将相关表格电子版</w:t>
      </w:r>
      <w:r>
        <w:fldChar w:fldCharType="begin"/>
      </w:r>
      <w:r>
        <w:instrText xml:space="preserve"> HYPERLINK "mailto:质版汇总表一份（部门负责人与填报人签字，并加盖部门公章）报送至发展规划处办公室，电子版发送至邮箱szyfzgh@163.com。" </w:instrText>
      </w:r>
      <w:r>
        <w:fldChar w:fldCharType="separate"/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报送至发展规划处邮箱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fgc</w:t>
      </w:r>
      <w:r>
        <w:rPr>
          <w:rFonts w:ascii="宋体" w:hAnsi="宋体" w:eastAsia="宋体" w:cs="宋体"/>
          <w:kern w:val="2"/>
          <w:position w:val="3"/>
          <w:sz w:val="32"/>
          <w:szCs w:val="32"/>
        </w:rPr>
        <w:t>@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sntcm.edu.cn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kern w:val="2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相关通知、附件及表格请登录发展规划处网页（发展规划处http://fzgh.sntcm.edu.cn/下载，未尽事宜请与发展规划处联系。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联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系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人：</w:t>
      </w:r>
      <w:r>
        <w:rPr>
          <w:rFonts w:ascii="仿宋_GB2312" w:hAnsi="仿宋_GB2312" w:eastAsia="仿宋_GB2312" w:cs="Times New Roman"/>
          <w:kern w:val="2"/>
          <w:position w:val="3"/>
          <w:sz w:val="32"/>
          <w:szCs w:val="32"/>
        </w:rPr>
        <w:t> </w:t>
      </w:r>
      <w:r>
        <w:rPr>
          <w:rFonts w:hint="eastAsia" w:ascii="仿宋_GB2312" w:hAnsi="仿宋_GB2312" w:eastAsia="仿宋_GB2312" w:cs="Times New Roman"/>
          <w:kern w:val="2"/>
          <w:position w:val="3"/>
          <w:sz w:val="32"/>
          <w:szCs w:val="32"/>
          <w:lang w:val="en-US" w:eastAsia="zh-CN"/>
        </w:rPr>
        <w:t xml:space="preserve">辛静      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3818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3463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</w:pPr>
    </w:p>
    <w:p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757" w:right="1474" w:bottom="1417" w:left="1587" w:header="851" w:footer="992" w:gutter="0"/>
          <w:pgNumType w:fmt="decimal"/>
          <w:cols w:space="0" w:num="1"/>
          <w:titlePg/>
          <w:rtlGutter w:val="1"/>
          <w:docGrid w:type="linesAndChars" w:linePitch="621" w:charSpace="0"/>
        </w:sectPr>
      </w:pP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kern w:val="2"/>
          <w:position w:val="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年高等教育统计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  <w:lang w:val="en-US" w:eastAsia="zh-CN"/>
        </w:rPr>
        <w:t>填报</w:t>
      </w:r>
      <w:r>
        <w:rPr>
          <w:rFonts w:hint="eastAsia" w:ascii="仿宋_GB2312" w:hAnsi="仿宋_GB2312" w:eastAsia="仿宋_GB2312" w:cs="仿宋_GB2312"/>
          <w:kern w:val="2"/>
          <w:position w:val="3"/>
          <w:sz w:val="32"/>
          <w:szCs w:val="32"/>
        </w:rPr>
        <w:t>任务分解表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bookmarkStart w:id="1" w:name="_Toc5727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陕西中医药大学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年教育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事业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统计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填报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任务分解表</w:t>
      </w:r>
      <w:bookmarkEnd w:id="1"/>
    </w:p>
    <w:tbl>
      <w:tblPr>
        <w:tblStyle w:val="8"/>
        <w:tblW w:w="45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945"/>
        <w:gridCol w:w="2126"/>
        <w:gridCol w:w="7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5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9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台账表名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填报部门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填报内容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9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教基1001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党政办、信管处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全部内容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发展规划处</w:t>
            </w:r>
          </w:p>
        </w:tc>
        <w:tc>
          <w:tcPr>
            <w:tcW w:w="194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教基1304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党政办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u w:val="none"/>
                <w:lang w:val="en-US" w:eastAsia="zh-CN" w:bidi="ar"/>
              </w:rPr>
              <w:t>学校简介1-3；8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学工部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毕业生升学、就业人数、在校生中住宿生人数；预防艾滋病教育和性教育先关课程和活动；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人事处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院士信息、银龄教师、安全保卫人员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信管处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学校首席信息官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保卫处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安全保卫人员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专业数、预防艾滋病教育和性教育先关课程和活动；预科注册学生数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授予同等学力申请硕士、博士人数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学科办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硕士、博士学位授权点；学科数；博士后科研流动站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科技处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国家级、省部级研究机构设置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国际处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上学年全日制在校生短期出国校级交流人数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国资处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实有床位数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博物馆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博物馆数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学术期刊中心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定期公开出版的专业刊物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体育健康学院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参加国家学生体质健康测试人数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附属医院</w:t>
            </w:r>
          </w:p>
        </w:tc>
        <w:tc>
          <w:tcPr>
            <w:tcW w:w="727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附属医院建筑面积、床位数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第二附属医院</w:t>
            </w:r>
          </w:p>
        </w:tc>
        <w:tc>
          <w:tcPr>
            <w:tcW w:w="727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94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教基2310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教务处</w:t>
            </w:r>
          </w:p>
        </w:tc>
        <w:tc>
          <w:tcPr>
            <w:tcW w:w="727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班额情况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继续教育学院</w:t>
            </w:r>
          </w:p>
        </w:tc>
        <w:tc>
          <w:tcPr>
            <w:tcW w:w="727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研究生院</w:t>
            </w:r>
          </w:p>
        </w:tc>
        <w:tc>
          <w:tcPr>
            <w:tcW w:w="727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发展规划处</w:t>
            </w:r>
          </w:p>
        </w:tc>
        <w:tc>
          <w:tcPr>
            <w:tcW w:w="194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教基3040、3041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教务处</w:t>
            </w:r>
          </w:p>
        </w:tc>
        <w:tc>
          <w:tcPr>
            <w:tcW w:w="727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学生变动情况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继续教育学院</w:t>
            </w:r>
          </w:p>
        </w:tc>
        <w:tc>
          <w:tcPr>
            <w:tcW w:w="727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研究生院</w:t>
            </w:r>
          </w:p>
        </w:tc>
        <w:tc>
          <w:tcPr>
            <w:tcW w:w="727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学工部</w:t>
            </w:r>
          </w:p>
        </w:tc>
        <w:tc>
          <w:tcPr>
            <w:tcW w:w="19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教基3045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学工部、团委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国教院</w:t>
            </w:r>
          </w:p>
        </w:tc>
        <w:tc>
          <w:tcPr>
            <w:tcW w:w="19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教基3046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国教院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9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教基3326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19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教基3328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19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教基3331、3332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发展规划处</w:t>
            </w:r>
          </w:p>
        </w:tc>
        <w:tc>
          <w:tcPr>
            <w:tcW w:w="194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教基3334、3335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教务处</w:t>
            </w:r>
          </w:p>
        </w:tc>
        <w:tc>
          <w:tcPr>
            <w:tcW w:w="727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全部内容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继续教育学院</w:t>
            </w:r>
          </w:p>
        </w:tc>
        <w:tc>
          <w:tcPr>
            <w:tcW w:w="727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研究生院</w:t>
            </w:r>
          </w:p>
        </w:tc>
        <w:tc>
          <w:tcPr>
            <w:tcW w:w="727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发展规划处</w:t>
            </w:r>
          </w:p>
        </w:tc>
        <w:tc>
          <w:tcPr>
            <w:tcW w:w="194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教基3338、3339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教务处</w:t>
            </w:r>
          </w:p>
        </w:tc>
        <w:tc>
          <w:tcPr>
            <w:tcW w:w="727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全部内容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继续教育学院</w:t>
            </w:r>
          </w:p>
        </w:tc>
        <w:tc>
          <w:tcPr>
            <w:tcW w:w="727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发展规划处</w:t>
            </w:r>
          </w:p>
        </w:tc>
        <w:tc>
          <w:tcPr>
            <w:tcW w:w="194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教基3343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教务处</w:t>
            </w:r>
          </w:p>
        </w:tc>
        <w:tc>
          <w:tcPr>
            <w:tcW w:w="727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全部内容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继续教育学院</w:t>
            </w:r>
          </w:p>
        </w:tc>
        <w:tc>
          <w:tcPr>
            <w:tcW w:w="727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研究生院</w:t>
            </w:r>
          </w:p>
        </w:tc>
        <w:tc>
          <w:tcPr>
            <w:tcW w:w="727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国际处</w:t>
            </w:r>
          </w:p>
        </w:tc>
        <w:tc>
          <w:tcPr>
            <w:tcW w:w="19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教基3347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国际处、国教院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5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9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教基4063、4067、4352、4354、4358、4360、4362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人事处、教务处、研究生院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学工部</w:t>
            </w:r>
          </w:p>
        </w:tc>
        <w:tc>
          <w:tcPr>
            <w:tcW w:w="19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教基4064、4366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学工部、人事处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全部内容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教师发展中心</w:t>
            </w:r>
          </w:p>
        </w:tc>
        <w:tc>
          <w:tcPr>
            <w:tcW w:w="19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教基4068、8389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教师发展中心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全部内容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19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教基4365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研究生院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基建处</w:t>
            </w:r>
          </w:p>
        </w:tc>
        <w:tc>
          <w:tcPr>
            <w:tcW w:w="19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教基5374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基建处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发展规划处</w:t>
            </w:r>
          </w:p>
        </w:tc>
        <w:tc>
          <w:tcPr>
            <w:tcW w:w="194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教基5377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基建处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占地面积、校园足球场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信管处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数字终端、多媒体教室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国资处</w:t>
            </w:r>
          </w:p>
        </w:tc>
        <w:tc>
          <w:tcPr>
            <w:tcW w:w="7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固定资产总值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>
      <w:pPr>
        <w:pStyle w:val="2"/>
        <w:rPr>
          <w:rFonts w:hint="eastAsia"/>
        </w:rPr>
      </w:pPr>
    </w:p>
    <w:bookmarkEnd w:id="0"/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  <w:sectPr>
          <w:pgSz w:w="16838" w:h="11906" w:orient="landscape"/>
          <w:pgMar w:top="1134" w:right="1757" w:bottom="1134" w:left="1417" w:header="851" w:footer="992" w:gutter="0"/>
          <w:pgNumType w:fmt="decimal"/>
          <w:cols w:space="0" w:num="1"/>
          <w:titlePg/>
          <w:rtlGutter w:val="1"/>
          <w:docGrid w:type="linesAndChars" w:linePitch="621" w:charSpace="0"/>
        </w:sect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Bdr>
          <w:top w:val="single" w:color="auto" w:sz="6" w:space="1"/>
          <w:bottom w:val="single" w:color="auto" w:sz="6" w:space="1"/>
        </w:pBdr>
        <w:shd w:val="clear" w:color="auto" w:fill="FFFFFF"/>
        <w:spacing w:after="0"/>
        <w:outlineLvl w:val="1"/>
        <w:rPr>
          <w:rFonts w:hint="eastAsia" w:ascii="仿宋_GB2312" w:hAnsi="仿宋" w:eastAsia="仿宋_GB2312" w:cs="宋体"/>
          <w:color w:val="2B2B2B"/>
          <w:sz w:val="28"/>
          <w:szCs w:val="28"/>
        </w:rPr>
      </w:pPr>
      <w:r>
        <w:rPr>
          <w:rFonts w:hint="eastAsia" w:ascii="仿宋_GB2312" w:hAnsi="仿宋" w:eastAsia="仿宋_GB2312" w:cs="宋体"/>
          <w:color w:val="2B2B2B"/>
          <w:sz w:val="28"/>
          <w:szCs w:val="28"/>
        </w:rPr>
        <w:t xml:space="preserve">  抄送：各校领导。</w:t>
      </w:r>
    </w:p>
    <w:p>
      <w:pPr>
        <w:pBdr>
          <w:bottom w:val="single" w:color="auto" w:sz="6" w:space="1"/>
          <w:between w:val="single" w:color="auto" w:sz="6" w:space="1"/>
        </w:pBdr>
        <w:shd w:val="clear" w:color="auto" w:fill="FFFFFF"/>
        <w:tabs>
          <w:tab w:val="left" w:pos="6096"/>
        </w:tabs>
        <w:spacing w:after="0"/>
        <w:outlineLvl w:val="1"/>
        <w:rPr>
          <w:rFonts w:hint="eastAsia"/>
        </w:rPr>
      </w:pPr>
      <w:r>
        <w:rPr>
          <w:rFonts w:hint="eastAsia" w:ascii="仿宋_GB2312" w:hAnsi="仿宋" w:eastAsia="仿宋_GB2312" w:cs="宋体"/>
          <w:color w:val="2B2B2B"/>
          <w:sz w:val="28"/>
          <w:szCs w:val="28"/>
        </w:rPr>
        <w:t xml:space="preserve">  陕西中医药大学校长办公室           </w:t>
      </w:r>
      <w:r>
        <w:rPr>
          <w:rFonts w:hint="eastAsia" w:ascii="仿宋_GB2312" w:hAnsi="仿宋" w:eastAsia="仿宋_GB2312" w:cs="宋体"/>
          <w:color w:val="2B2B2B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 w:cs="宋体"/>
          <w:color w:val="2B2B2B"/>
          <w:sz w:val="28"/>
          <w:szCs w:val="28"/>
        </w:rPr>
        <w:t xml:space="preserve">       </w:t>
      </w:r>
      <w:r>
        <w:rPr>
          <w:rFonts w:hint="eastAsia" w:ascii="仿宋_GB2312" w:hAnsi="仿宋" w:eastAsia="仿宋_GB2312" w:cs="宋体"/>
          <w:color w:val="2B2B2B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2B2B2B"/>
          <w:sz w:val="28"/>
          <w:szCs w:val="28"/>
          <w:lang w:eastAsia="zh-CN"/>
        </w:rPr>
        <w:t>2025年9月22日</w:t>
      </w:r>
      <w:r>
        <w:rPr>
          <w:rFonts w:hint="eastAsia" w:ascii="仿宋_GB2312" w:hAnsi="仿宋" w:eastAsia="仿宋_GB2312" w:cs="宋体"/>
          <w:color w:val="2B2B2B"/>
          <w:sz w:val="28"/>
          <w:szCs w:val="28"/>
        </w:rPr>
        <w:t>印发</w:t>
      </w:r>
    </w:p>
    <w:sectPr>
      <w:footerReference r:id="rId6" w:type="first"/>
      <w:footerReference r:id="rId5" w:type="default"/>
      <w:pgSz w:w="11906" w:h="16838"/>
      <w:pgMar w:top="1757" w:right="1134" w:bottom="1417" w:left="1134" w:header="851" w:footer="992" w:gutter="0"/>
      <w:pgNumType w:fmt="decimal"/>
      <w:cols w:space="0" w:num="1"/>
      <w:titlePg/>
      <w:rtlGutter w:val="1"/>
      <w:docGrid w:type="linesAndChars" w:linePitch="6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C9F0CD-7521-4D16-B570-893BDCFE7C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D38F8FD-FCEA-4444-BE5E-44D594E6B72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E9D9A92-F163-4D2C-A0DD-85579C6A89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8973919-4392-4518-8D18-C0397C2BC1C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B2967CA-5E96-46DD-850A-59B5E410FBC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oNotHyphenateCaps/>
  <w:drawingGridHorizontalSpacing w:val="300"/>
  <w:drawingGridVerticalSpacing w:val="310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NWQ5NjQxNzIyYTBlNzYxZWFmZjFhYWZiNzBiZmQifQ=="/>
  </w:docVars>
  <w:rsids>
    <w:rsidRoot w:val="0438771C"/>
    <w:rsid w:val="00084DAB"/>
    <w:rsid w:val="0025406A"/>
    <w:rsid w:val="0030673B"/>
    <w:rsid w:val="00354F8C"/>
    <w:rsid w:val="00437E14"/>
    <w:rsid w:val="005D5613"/>
    <w:rsid w:val="00995137"/>
    <w:rsid w:val="00C616F8"/>
    <w:rsid w:val="00CD39DA"/>
    <w:rsid w:val="00F511B7"/>
    <w:rsid w:val="00FE76BC"/>
    <w:rsid w:val="01406AC9"/>
    <w:rsid w:val="0438771C"/>
    <w:rsid w:val="06370542"/>
    <w:rsid w:val="08151B9E"/>
    <w:rsid w:val="08400A92"/>
    <w:rsid w:val="087F7AE1"/>
    <w:rsid w:val="19EC0385"/>
    <w:rsid w:val="1A1409CA"/>
    <w:rsid w:val="1BDE0C42"/>
    <w:rsid w:val="1C25598D"/>
    <w:rsid w:val="1EA11E70"/>
    <w:rsid w:val="1FF02946"/>
    <w:rsid w:val="20D5188F"/>
    <w:rsid w:val="22EA51BB"/>
    <w:rsid w:val="2D042814"/>
    <w:rsid w:val="2F1E4913"/>
    <w:rsid w:val="314A77F9"/>
    <w:rsid w:val="33006A7B"/>
    <w:rsid w:val="38404012"/>
    <w:rsid w:val="38FB278B"/>
    <w:rsid w:val="3B8B1A48"/>
    <w:rsid w:val="44CA286F"/>
    <w:rsid w:val="45386828"/>
    <w:rsid w:val="490778A0"/>
    <w:rsid w:val="4C9E2E24"/>
    <w:rsid w:val="532E1318"/>
    <w:rsid w:val="550F48DC"/>
    <w:rsid w:val="642730AC"/>
    <w:rsid w:val="78A042C7"/>
    <w:rsid w:val="7A88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qFormat="1" w:unhideWhenUsed="0"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0"/>
      <w:szCs w:val="30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99"/>
    <w:pPr>
      <w:spacing w:beforeAutospacing="1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4"/>
    <w:basedOn w:val="1"/>
    <w:next w:val="1"/>
    <w:link w:val="14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Hyperlink"/>
    <w:basedOn w:val="9"/>
    <w:semiHidden/>
    <w:qFormat/>
    <w:uiPriority w:val="99"/>
    <w:rPr>
      <w:color w:val="2B2B2B"/>
      <w:u w:val="none"/>
    </w:rPr>
  </w:style>
  <w:style w:type="character" w:customStyle="1" w:styleId="13">
    <w:name w:val="Heading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Heading 4 Char"/>
    <w:basedOn w:val="9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Footer Char"/>
    <w:basedOn w:val="9"/>
    <w:link w:val="5"/>
    <w:semiHidden/>
    <w:qFormat/>
    <w:uiPriority w:val="99"/>
    <w:rPr>
      <w:rFonts w:ascii="Calibri" w:hAnsi="Calibri" w:eastAsia="仿宋" w:cs="Calibri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Header Char"/>
    <w:basedOn w:val="9"/>
    <w:link w:val="6"/>
    <w:semiHidden/>
    <w:qFormat/>
    <w:uiPriority w:val="99"/>
    <w:rPr>
      <w:rFonts w:ascii="Calibri" w:hAnsi="Calibri" w:eastAsia="仿宋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市直单位</Company>
  <Pages>6</Pages>
  <Words>2466</Words>
  <Characters>2594</Characters>
  <Lines>0</Lines>
  <Paragraphs>0</Paragraphs>
  <TotalTime>0</TotalTime>
  <ScaleCrop>false</ScaleCrop>
  <LinksUpToDate>false</LinksUpToDate>
  <CharactersWithSpaces>2707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2023-09-28T08:19:00Z</dcterms:created>
  <dc:creator>Administrator</dc:creator>
  <cp:lastModifiedBy>贾艳</cp:lastModifiedBy>
  <cp:lastPrinted>2025-09-22T00:53:00Z</cp:lastPrinted>
  <dcterms:modified xsi:type="dcterms:W3CDTF">2025-09-22T08:55:02Z</dcterms:modified>
  <dc:title>关于印发《陕西中医药大学2023年教育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522B456B20224E58B37181217FA860F8</vt:lpwstr>
  </property>
  <property fmtid="{D5CDD505-2E9C-101B-9397-08002B2CF9AE}" pid="4" name="KSOTemplateDocerSaveRecord">
    <vt:lpwstr>eyJoZGlkIjoiMWU2ZTMxYzhlMTIwM2RlZjQxZjE5Yzc3MzM2ZmNiZDkiLCJ1c2VySWQiOiIzMTU4MzU3OTAifQ==</vt:lpwstr>
  </property>
</Properties>
</file>